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16" w:type="dxa"/>
        <w:jc w:val="center"/>
        <w:tblCellSpacing w:w="0" w:type="dxa"/>
        <w:shd w:val="clear" w:color="auto" w:fill="FFFFFF"/>
        <w:tblCellMar>
          <w:left w:w="0" w:type="dxa"/>
          <w:right w:w="0" w:type="dxa"/>
        </w:tblCellMar>
        <w:tblLook w:val="04A0" w:firstRow="1" w:lastRow="0" w:firstColumn="1" w:lastColumn="0" w:noHBand="0" w:noVBand="1"/>
      </w:tblPr>
      <w:tblGrid>
        <w:gridCol w:w="393"/>
        <w:gridCol w:w="14623"/>
      </w:tblGrid>
      <w:tr w:rsidR="002B0428" w:rsidRPr="002B0428" w:rsidTr="002B0428">
        <w:trPr>
          <w:trHeight w:val="750"/>
          <w:tblCellSpacing w:w="0" w:type="dxa"/>
          <w:jc w:val="center"/>
        </w:trPr>
        <w:tc>
          <w:tcPr>
            <w:tcW w:w="393" w:type="dxa"/>
            <w:shd w:val="clear" w:color="auto" w:fill="FFFFFF"/>
            <w:vAlign w:val="center"/>
            <w:hideMark/>
          </w:tcPr>
          <w:p w:rsidR="002B0428" w:rsidRPr="002B0428" w:rsidRDefault="002B0428" w:rsidP="002B0428">
            <w:pPr>
              <w:widowControl/>
              <w:jc w:val="center"/>
              <w:rPr>
                <w:rFonts w:ascii="微软雅黑" w:eastAsia="微软雅黑" w:hAnsi="微软雅黑" w:cs="宋体"/>
                <w:color w:val="000000"/>
                <w:kern w:val="0"/>
                <w:sz w:val="18"/>
                <w:szCs w:val="18"/>
              </w:rPr>
            </w:pPr>
          </w:p>
        </w:tc>
        <w:tc>
          <w:tcPr>
            <w:tcW w:w="14623" w:type="dxa"/>
            <w:shd w:val="clear" w:color="auto" w:fill="FFFFFF"/>
            <w:vAlign w:val="center"/>
            <w:hideMark/>
          </w:tcPr>
          <w:tbl>
            <w:tblPr>
              <w:tblpPr w:leftFromText="45" w:rightFromText="45" w:vertAnchor="text"/>
              <w:tblW w:w="13500" w:type="dxa"/>
              <w:tblCellSpacing w:w="0" w:type="dxa"/>
              <w:tblCellMar>
                <w:left w:w="0" w:type="dxa"/>
                <w:right w:w="0" w:type="dxa"/>
              </w:tblCellMar>
              <w:tblLook w:val="04A0" w:firstRow="1" w:lastRow="0" w:firstColumn="1" w:lastColumn="0" w:noHBand="0" w:noVBand="1"/>
            </w:tblPr>
            <w:tblGrid>
              <w:gridCol w:w="13500"/>
            </w:tblGrid>
            <w:tr w:rsidR="002B0428" w:rsidRPr="002B0428">
              <w:trPr>
                <w:trHeight w:val="525"/>
                <w:tblCellSpacing w:w="0" w:type="dxa"/>
              </w:trPr>
              <w:tc>
                <w:tcPr>
                  <w:tcW w:w="0" w:type="auto"/>
                  <w:vAlign w:val="center"/>
                  <w:hideMark/>
                </w:tcPr>
                <w:tbl>
                  <w:tblPr>
                    <w:tblW w:w="13500" w:type="dxa"/>
                    <w:jc w:val="center"/>
                    <w:tblCellSpacing w:w="15" w:type="dxa"/>
                    <w:tblCellMar>
                      <w:top w:w="15" w:type="dxa"/>
                      <w:left w:w="15" w:type="dxa"/>
                      <w:bottom w:w="15" w:type="dxa"/>
                      <w:right w:w="15" w:type="dxa"/>
                    </w:tblCellMar>
                    <w:tblLook w:val="04A0" w:firstRow="1" w:lastRow="0" w:firstColumn="1" w:lastColumn="0" w:noHBand="0" w:noVBand="1"/>
                  </w:tblPr>
                  <w:tblGrid>
                    <w:gridCol w:w="13500"/>
                  </w:tblGrid>
                  <w:tr w:rsidR="002B0428" w:rsidRPr="002B0428">
                    <w:trPr>
                      <w:tblCellSpacing w:w="15" w:type="dxa"/>
                      <w:jc w:val="center"/>
                    </w:trPr>
                    <w:tc>
                      <w:tcPr>
                        <w:tcW w:w="13500" w:type="dxa"/>
                        <w:vAlign w:val="center"/>
                        <w:hideMark/>
                      </w:tcPr>
                      <w:p w:rsidR="002B0428" w:rsidRPr="002B0428" w:rsidRDefault="002B0428" w:rsidP="002B0428">
                        <w:pPr>
                          <w:widowControl/>
                          <w:jc w:val="center"/>
                          <w:rPr>
                            <w:rFonts w:ascii="宋体" w:eastAsia="宋体" w:hAnsi="宋体" w:cs="宋体"/>
                            <w:kern w:val="0"/>
                            <w:sz w:val="24"/>
                            <w:szCs w:val="24"/>
                          </w:rPr>
                        </w:pPr>
                      </w:p>
                    </w:tc>
                  </w:tr>
                </w:tbl>
                <w:p w:rsidR="002B0428" w:rsidRPr="002B0428" w:rsidRDefault="002B0428" w:rsidP="002B0428">
                  <w:pPr>
                    <w:widowControl/>
                    <w:jc w:val="center"/>
                    <w:rPr>
                      <w:rFonts w:ascii="宋体" w:eastAsia="宋体" w:hAnsi="宋体" w:cs="宋体"/>
                      <w:kern w:val="0"/>
                      <w:sz w:val="24"/>
                      <w:szCs w:val="24"/>
                    </w:rPr>
                  </w:pPr>
                </w:p>
              </w:tc>
            </w:tr>
          </w:tbl>
          <w:p w:rsidR="002B0428" w:rsidRPr="002B0428" w:rsidRDefault="002B0428" w:rsidP="002B0428">
            <w:pPr>
              <w:widowControl/>
              <w:jc w:val="center"/>
              <w:rPr>
                <w:rFonts w:ascii="微软雅黑" w:eastAsia="微软雅黑" w:hAnsi="微软雅黑" w:cs="宋体"/>
                <w:color w:val="000000"/>
                <w:kern w:val="0"/>
                <w:sz w:val="18"/>
                <w:szCs w:val="18"/>
              </w:rPr>
            </w:pPr>
          </w:p>
        </w:tc>
      </w:tr>
      <w:tr w:rsidR="002B0428" w:rsidRPr="002B0428" w:rsidTr="002B0428">
        <w:trPr>
          <w:trHeight w:val="750"/>
          <w:tblCellSpacing w:w="0" w:type="dxa"/>
          <w:jc w:val="center"/>
        </w:trPr>
        <w:tc>
          <w:tcPr>
            <w:tcW w:w="0" w:type="auto"/>
            <w:gridSpan w:val="2"/>
            <w:shd w:val="clear" w:color="auto" w:fill="FFFFFF"/>
            <w:vAlign w:val="center"/>
            <w:hideMark/>
          </w:tcPr>
          <w:tbl>
            <w:tblPr>
              <w:tblW w:w="13500" w:type="dxa"/>
              <w:jc w:val="center"/>
              <w:tblCellSpacing w:w="0" w:type="dxa"/>
              <w:tblCellMar>
                <w:left w:w="0" w:type="dxa"/>
                <w:right w:w="0" w:type="dxa"/>
              </w:tblCellMar>
              <w:tblLook w:val="04A0" w:firstRow="1" w:lastRow="0" w:firstColumn="1" w:lastColumn="0" w:noHBand="0" w:noVBand="1"/>
            </w:tblPr>
            <w:tblGrid>
              <w:gridCol w:w="13500"/>
            </w:tblGrid>
            <w:tr w:rsidR="002B0428" w:rsidRPr="002B0428">
              <w:trPr>
                <w:tblCellSpacing w:w="0" w:type="dxa"/>
                <w:jc w:val="center"/>
              </w:trPr>
              <w:tc>
                <w:tcPr>
                  <w:tcW w:w="0" w:type="auto"/>
                  <w:vAlign w:val="center"/>
                  <w:hideMark/>
                </w:tcPr>
                <w:p w:rsidR="002B0428" w:rsidRPr="002B0428" w:rsidRDefault="002B0428" w:rsidP="002B0428">
                  <w:pPr>
                    <w:widowControl/>
                    <w:jc w:val="center"/>
                    <w:rPr>
                      <w:rFonts w:ascii="宋体" w:eastAsia="宋体" w:hAnsi="宋体" w:cs="宋体"/>
                      <w:kern w:val="0"/>
                      <w:sz w:val="24"/>
                      <w:szCs w:val="24"/>
                    </w:rPr>
                  </w:pPr>
                </w:p>
              </w:tc>
            </w:tr>
          </w:tbl>
          <w:p w:rsidR="002B0428" w:rsidRPr="002B0428" w:rsidRDefault="002B0428" w:rsidP="002B0428">
            <w:pPr>
              <w:widowControl/>
              <w:jc w:val="center"/>
              <w:rPr>
                <w:rFonts w:ascii="微软雅黑" w:eastAsia="微软雅黑" w:hAnsi="微软雅黑" w:cs="宋体"/>
                <w:color w:val="000000"/>
                <w:kern w:val="0"/>
                <w:sz w:val="18"/>
                <w:szCs w:val="18"/>
              </w:rPr>
            </w:pPr>
          </w:p>
        </w:tc>
      </w:tr>
      <w:tr w:rsidR="002B0428" w:rsidRPr="002B0428" w:rsidTr="002B0428">
        <w:trPr>
          <w:tblCellSpacing w:w="0" w:type="dxa"/>
          <w:jc w:val="center"/>
        </w:trPr>
        <w:tc>
          <w:tcPr>
            <w:tcW w:w="0" w:type="auto"/>
            <w:gridSpan w:val="2"/>
            <w:shd w:val="clear" w:color="auto" w:fill="FFFFFF"/>
            <w:vAlign w:val="center"/>
            <w:hideMark/>
          </w:tcPr>
          <w:tbl>
            <w:tblPr>
              <w:tblW w:w="10004" w:type="dxa"/>
              <w:jc w:val="center"/>
              <w:tblCellSpacing w:w="0" w:type="dxa"/>
              <w:tblCellMar>
                <w:left w:w="0" w:type="dxa"/>
                <w:right w:w="0" w:type="dxa"/>
              </w:tblCellMar>
              <w:tblLook w:val="04A0" w:firstRow="1" w:lastRow="0" w:firstColumn="1" w:lastColumn="0" w:noHBand="0" w:noVBand="1"/>
            </w:tblPr>
            <w:tblGrid>
              <w:gridCol w:w="10004"/>
            </w:tblGrid>
            <w:tr w:rsidR="002B0428" w:rsidRPr="002B0428" w:rsidTr="002B0428">
              <w:trPr>
                <w:trHeight w:val="750"/>
                <w:tblCellSpacing w:w="0" w:type="dxa"/>
                <w:jc w:val="center"/>
              </w:trPr>
              <w:tc>
                <w:tcPr>
                  <w:tcW w:w="10004" w:type="dxa"/>
                  <w:tcMar>
                    <w:top w:w="0" w:type="dxa"/>
                    <w:left w:w="600" w:type="dxa"/>
                    <w:bottom w:w="0" w:type="dxa"/>
                    <w:right w:w="600" w:type="dxa"/>
                  </w:tcMar>
                  <w:vAlign w:val="center"/>
                  <w:hideMark/>
                </w:tcPr>
                <w:p w:rsidR="002B0428" w:rsidRDefault="002B0428" w:rsidP="002B0428">
                  <w:pPr>
                    <w:widowControl/>
                    <w:spacing w:line="495" w:lineRule="atLeast"/>
                    <w:jc w:val="center"/>
                    <w:rPr>
                      <w:rFonts w:ascii="宋体" w:eastAsia="宋体" w:hAnsi="宋体" w:cs="宋体" w:hint="eastAsia"/>
                      <w:b/>
                      <w:bCs/>
                      <w:color w:val="000000"/>
                      <w:kern w:val="0"/>
                      <w:sz w:val="33"/>
                      <w:szCs w:val="33"/>
                    </w:rPr>
                  </w:pPr>
                  <w:bookmarkStart w:id="0" w:name="_GoBack"/>
                  <w:r w:rsidRPr="002B0428">
                    <w:rPr>
                      <w:rFonts w:ascii="宋体" w:eastAsia="宋体" w:hAnsi="宋体" w:cs="宋体"/>
                      <w:b/>
                      <w:bCs/>
                      <w:color w:val="000000"/>
                      <w:kern w:val="0"/>
                      <w:sz w:val="33"/>
                      <w:szCs w:val="33"/>
                    </w:rPr>
                    <w:t>住房和城乡建设部等部门关于</w:t>
                  </w:r>
                  <w:r w:rsidRPr="002B0428">
                    <w:rPr>
                      <w:rFonts w:ascii="宋体" w:eastAsia="宋体" w:hAnsi="宋体" w:cs="宋体"/>
                      <w:b/>
                      <w:bCs/>
                      <w:color w:val="000000"/>
                      <w:kern w:val="0"/>
                      <w:sz w:val="33"/>
                      <w:szCs w:val="33"/>
                    </w:rPr>
                    <w:br/>
                    <w:t>加快新型建筑工业化发展的若干意见</w:t>
                  </w:r>
                </w:p>
                <w:bookmarkEnd w:id="0"/>
                <w:p w:rsidR="002B0428" w:rsidRPr="002B0428" w:rsidRDefault="002B0428" w:rsidP="002B0428">
                  <w:pPr>
                    <w:widowControl/>
                    <w:spacing w:line="495" w:lineRule="atLeast"/>
                    <w:jc w:val="center"/>
                    <w:rPr>
                      <w:rFonts w:ascii="宋体" w:eastAsia="宋体" w:hAnsi="宋体" w:cs="宋体"/>
                      <w:b/>
                      <w:bCs/>
                      <w:color w:val="000000"/>
                      <w:kern w:val="0"/>
                      <w:sz w:val="33"/>
                      <w:szCs w:val="33"/>
                    </w:rPr>
                  </w:pPr>
                  <w:r w:rsidRPr="002B0428">
                    <w:rPr>
                      <w:rFonts w:ascii="宋体" w:eastAsia="宋体" w:hAnsi="宋体" w:cs="宋体" w:hint="eastAsia"/>
                      <w:b/>
                      <w:bCs/>
                      <w:color w:val="000000"/>
                      <w:kern w:val="0"/>
                      <w:sz w:val="33"/>
                      <w:szCs w:val="33"/>
                    </w:rPr>
                    <w:t>建标</w:t>
                  </w:r>
                  <w:proofErr w:type="gramStart"/>
                  <w:r w:rsidRPr="002B0428">
                    <w:rPr>
                      <w:rFonts w:ascii="宋体" w:eastAsia="宋体" w:hAnsi="宋体" w:cs="宋体" w:hint="eastAsia"/>
                      <w:b/>
                      <w:bCs/>
                      <w:color w:val="000000"/>
                      <w:kern w:val="0"/>
                      <w:sz w:val="33"/>
                      <w:szCs w:val="33"/>
                    </w:rPr>
                    <w:t>规</w:t>
                  </w:r>
                  <w:proofErr w:type="gramEnd"/>
                  <w:r w:rsidRPr="002B0428">
                    <w:rPr>
                      <w:rFonts w:ascii="宋体" w:eastAsia="宋体" w:hAnsi="宋体" w:cs="宋体" w:hint="eastAsia"/>
                      <w:b/>
                      <w:bCs/>
                      <w:color w:val="000000"/>
                      <w:kern w:val="0"/>
                      <w:sz w:val="33"/>
                      <w:szCs w:val="33"/>
                    </w:rPr>
                    <w:t>〔2020〕8号</w:t>
                  </w:r>
                </w:p>
              </w:tc>
            </w:tr>
            <w:tr w:rsidR="002B0428" w:rsidRPr="002B0428" w:rsidTr="002B0428">
              <w:trPr>
                <w:trHeight w:val="30"/>
                <w:tblCellSpacing w:w="0" w:type="dxa"/>
                <w:jc w:val="center"/>
              </w:trPr>
              <w:tc>
                <w:tcPr>
                  <w:tcW w:w="10004" w:type="dxa"/>
                  <w:tcMar>
                    <w:top w:w="225" w:type="dxa"/>
                    <w:left w:w="0" w:type="dxa"/>
                    <w:bottom w:w="0" w:type="dxa"/>
                    <w:right w:w="0" w:type="dxa"/>
                  </w:tcMar>
                  <w:vAlign w:val="center"/>
                  <w:hideMark/>
                </w:tcPr>
                <w:p w:rsidR="002B0428" w:rsidRPr="002B0428" w:rsidRDefault="002B0428" w:rsidP="002B0428">
                  <w:pPr>
                    <w:widowControl/>
                    <w:spacing w:line="30" w:lineRule="atLeast"/>
                    <w:jc w:val="center"/>
                    <w:rPr>
                      <w:rFonts w:ascii="宋体" w:eastAsia="宋体" w:hAnsi="宋体" w:cs="宋体"/>
                      <w:kern w:val="0"/>
                      <w:sz w:val="4"/>
                      <w:szCs w:val="24"/>
                    </w:rPr>
                  </w:pPr>
                </w:p>
              </w:tc>
            </w:tr>
            <w:tr w:rsidR="002B0428" w:rsidRPr="002B0428" w:rsidTr="002B0428">
              <w:trPr>
                <w:tblCellSpacing w:w="0" w:type="dxa"/>
                <w:jc w:val="center"/>
              </w:trPr>
              <w:tc>
                <w:tcPr>
                  <w:tcW w:w="10004" w:type="dxa"/>
                  <w:vAlign w:val="center"/>
                  <w:hideMark/>
                </w:tcPr>
                <w:p w:rsidR="002B0428" w:rsidRPr="002B0428" w:rsidRDefault="002B0428" w:rsidP="002B0428">
                  <w:pPr>
                    <w:widowControl/>
                    <w:jc w:val="center"/>
                    <w:rPr>
                      <w:rFonts w:ascii="宋体" w:eastAsia="宋体" w:hAnsi="宋体" w:cs="宋体"/>
                      <w:kern w:val="0"/>
                      <w:szCs w:val="21"/>
                    </w:rPr>
                  </w:pPr>
                </w:p>
              </w:tc>
            </w:tr>
            <w:tr w:rsidR="002B0428" w:rsidRPr="002B0428" w:rsidTr="002B0428">
              <w:trPr>
                <w:trHeight w:val="300"/>
                <w:tblCellSpacing w:w="0" w:type="dxa"/>
                <w:jc w:val="center"/>
              </w:trPr>
              <w:tc>
                <w:tcPr>
                  <w:tcW w:w="10004" w:type="dxa"/>
                  <w:tcMar>
                    <w:top w:w="150" w:type="dxa"/>
                    <w:left w:w="450" w:type="dxa"/>
                    <w:bottom w:w="0" w:type="dxa"/>
                    <w:right w:w="450" w:type="dxa"/>
                  </w:tcMar>
                  <w:vAlign w:val="center"/>
                  <w:hideMark/>
                </w:tcPr>
                <w:p w:rsidR="002B0428" w:rsidRPr="002B0428" w:rsidRDefault="002B0428" w:rsidP="002B0428">
                  <w:pPr>
                    <w:widowControl/>
                    <w:jc w:val="left"/>
                    <w:rPr>
                      <w:rFonts w:ascii="宋体" w:eastAsia="宋体" w:hAnsi="宋体" w:cs="宋体"/>
                      <w:kern w:val="0"/>
                      <w:sz w:val="24"/>
                      <w:szCs w:val="24"/>
                    </w:rPr>
                  </w:pPr>
                </w:p>
              </w:tc>
            </w:tr>
            <w:tr w:rsidR="002B0428" w:rsidRPr="002B0428" w:rsidTr="002B0428">
              <w:trPr>
                <w:trHeight w:val="450"/>
                <w:tblCellSpacing w:w="0" w:type="dxa"/>
                <w:jc w:val="center"/>
              </w:trPr>
              <w:tc>
                <w:tcPr>
                  <w:tcW w:w="10004" w:type="dxa"/>
                  <w:vAlign w:val="center"/>
                  <w:hideMark/>
                </w:tcPr>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各省、自治区、直辖市住房和城乡建设厅（委、管委）、教育厅（委）、科技厅（委、局）、工业和信息化主管部门、自然资源主管部门、生态环境厅（局），人民银行上海总部、各分行、营业管理部、省会(首府)城市中心支行、副省级城市中心支行，市场监管局（厅、委），</w:t>
                  </w:r>
                  <w:proofErr w:type="gramStart"/>
                  <w:r w:rsidRPr="002B0428">
                    <w:rPr>
                      <w:rFonts w:ascii="宋体" w:eastAsia="宋体" w:hAnsi="宋体" w:cs="宋体"/>
                      <w:kern w:val="0"/>
                      <w:sz w:val="24"/>
                      <w:szCs w:val="24"/>
                    </w:rPr>
                    <w:t>各银保</w:t>
                  </w:r>
                  <w:proofErr w:type="gramEnd"/>
                  <w:r w:rsidRPr="002B0428">
                    <w:rPr>
                      <w:rFonts w:ascii="宋体" w:eastAsia="宋体" w:hAnsi="宋体" w:cs="宋体"/>
                      <w:kern w:val="0"/>
                      <w:sz w:val="24"/>
                      <w:szCs w:val="24"/>
                    </w:rPr>
                    <w:t>监局，新疆生产建设兵团住房和城乡建设局、教育局、科技局、工业和信息化局、自然资源主管部门、生态环境局、市场监管局：</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新型建筑工业化是通过新一代信息技术驱动，以工程全寿命期系统化集成设计、精益化生产施工为主要手段，整合工程全产业链、价值链和创新链，实现工程建设高效益、高质量、低消耗、低排放的建筑工业化。《国务院办公厅关于大力发展装配式建筑的指导意见》（国办发〔2016〕71号）印发实施以来，以装配式建筑为代表的新型建筑工业化快速推进，建造水平和建筑品质明显提高。为全面贯彻新发展理念，推动城乡建设绿色发展和高质量发展，以新型建筑工业化带动建筑业全面转型升级，打造具有国际竞争力的“中国建造”品牌，提出以下意见。</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一、加强系统化集成设计</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一）推动全产业链协同。推行新型建筑工业化项目建筑师负责制，鼓励设计单位提供全过程咨询服务。优化项目前期技术策划方案，统筹规划设计、构件和部品部件生产运输、施工安装和运营维护管理。引导建设单位和工程总承包单位以建筑最终产品和综合效益为目标，推进产业链上下游资源共享、系统集成和联动发展。</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促进多专业协同。通过数字化设计手段推进建筑、结构、设备管线、装修等多专业一体化集成设计，提高建筑整体性，避免二次拆分设计，确保设计深度符合生产和施工要求，发挥新型建筑工业化系统集成综合优势。</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推进标准化设计。完善设计选型标准，实施建筑平面、立面、构件和部品部件、接口标准化设计，推广少规格、多组合设计方法，以学校、医院、办公楼、酒店、住宅等为重点，强化设计引领，推广装配式建筑体系。</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四）强化设计方案技术论证。落实新型建筑工业化项目标准化设计、工业化建造与建筑风貌有机统一的建筑设计要求，塑造城市特色风貌。在建筑设计方案审查阶段，加强对新型建筑工业化项目设计要求落实情况的论证，避免建筑风貌千篇一律。</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二、优化构件和部品部件生产</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五）推动构件和部件标准化。编制主要构件尺寸指南，推进型钢和混凝土构件以及预制混凝土墙板、叠合楼板、楼梯等通用部件的工厂化生产，满足标准化设计选型要求，扩大标准化构件和部品部件使用规模，逐步降低构件和部件生产成本。</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（六）完善集成化建筑部品。编制集成化、模块化建筑部</w:t>
                  </w:r>
                  <w:proofErr w:type="gramStart"/>
                  <w:r w:rsidRPr="002B0428">
                    <w:rPr>
                      <w:rFonts w:ascii="宋体" w:eastAsia="宋体" w:hAnsi="宋体" w:cs="宋体"/>
                      <w:kern w:val="0"/>
                      <w:sz w:val="24"/>
                      <w:szCs w:val="24"/>
                    </w:rPr>
                    <w:t>品相关</w:t>
                  </w:r>
                  <w:proofErr w:type="gramEnd"/>
                  <w:r w:rsidRPr="002B0428">
                    <w:rPr>
                      <w:rFonts w:ascii="宋体" w:eastAsia="宋体" w:hAnsi="宋体" w:cs="宋体"/>
                      <w:kern w:val="0"/>
                      <w:sz w:val="24"/>
                      <w:szCs w:val="24"/>
                    </w:rPr>
                    <w:t>标准图集，提高整体卫浴、</w:t>
                  </w:r>
                  <w:r w:rsidRPr="002B0428">
                    <w:rPr>
                      <w:rFonts w:ascii="宋体" w:eastAsia="宋体" w:hAnsi="宋体" w:cs="宋体"/>
                      <w:kern w:val="0"/>
                      <w:sz w:val="24"/>
                      <w:szCs w:val="24"/>
                    </w:rPr>
                    <w:lastRenderedPageBreak/>
                    <w:t>集成厨房、整体门窗等建筑部品的产业配套能力，逐步形成标准化、系列化的建筑部品供应体系。</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（七）促进产能供需平衡。综合考虑构件、部品部件运输和服务半径，引导产能合理布局，加强市场信息监测，定期发布构件和部品部件产能供需情况，提高产能利用率。</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（八）推进构件和部品部件认证工作。编制新型建筑工业化构件和部品部件相关技术要求，推行质量认证制度，健全配套保险制度，提高产品配套能力和质量水平。</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九）推广应用绿色建材。发展安全健康、环境友好、性能优良的新型建材，推进绿色建材认证和推广应用，推动装配式建筑等新型建筑工业化项目率先采用绿色建材，逐步提高城镇新建建筑中绿色建材应用比例。</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三、推广精益化施工</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大力发展钢结构建筑。鼓励医院、学校等公共建筑优先采用钢结构，积极推进钢结构住宅和农房建设。完善钢结构建筑防火、防腐等性能与技术措施，加大热轧H型钢、耐候钢和耐火钢应用，推动钢结构建筑关键技术和相关产业全面发展。</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一）推广装配式混凝土建筑。完善适用于不同建筑类型的装配式混凝土建筑结构体系，加大高性能混凝土、高强钢筋和消能减震、预应力技术的集成应用。在保障性住房和商品住宅中积极应用装配式混凝土结构，鼓励有条件的地区全面推广应用预制内隔墙、预制楼梯板和预制楼板。</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二）推进建筑全装修。装配式建筑、星级绿色建筑工程项目应推广全装修，积极发展成品住宅，倡导菜单式全装修，满足消费者个性化需求。推进装配化装修方式在商品住房项目中的应用，推广管线分离、一体化装修技术，推广集成化模块化建筑部品，提高装修品质，降低运行维护成本。</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（十三）优化施工</w:t>
                  </w:r>
                  <w:proofErr w:type="gramStart"/>
                  <w:r w:rsidRPr="002B0428">
                    <w:rPr>
                      <w:rFonts w:ascii="宋体" w:eastAsia="宋体" w:hAnsi="宋体" w:cs="宋体"/>
                      <w:kern w:val="0"/>
                      <w:sz w:val="24"/>
                      <w:szCs w:val="24"/>
                    </w:rPr>
                    <w:t>工艺工</w:t>
                  </w:r>
                  <w:proofErr w:type="gramEnd"/>
                  <w:r w:rsidRPr="002B0428">
                    <w:rPr>
                      <w:rFonts w:ascii="宋体" w:eastAsia="宋体" w:hAnsi="宋体" w:cs="宋体"/>
                      <w:kern w:val="0"/>
                      <w:sz w:val="24"/>
                      <w:szCs w:val="24"/>
                    </w:rPr>
                    <w:t>法。推行装配化绿色施工方式，引导施工企业研发与精益化施工相适应的部品部件吊装、运输与堆放、部品部件连接等施工</w:t>
                  </w:r>
                  <w:proofErr w:type="gramStart"/>
                  <w:r w:rsidRPr="002B0428">
                    <w:rPr>
                      <w:rFonts w:ascii="宋体" w:eastAsia="宋体" w:hAnsi="宋体" w:cs="宋体"/>
                      <w:kern w:val="0"/>
                      <w:sz w:val="24"/>
                      <w:szCs w:val="24"/>
                    </w:rPr>
                    <w:t>工艺工</w:t>
                  </w:r>
                  <w:proofErr w:type="gramEnd"/>
                  <w:r w:rsidRPr="002B0428">
                    <w:rPr>
                      <w:rFonts w:ascii="宋体" w:eastAsia="宋体" w:hAnsi="宋体" w:cs="宋体"/>
                      <w:kern w:val="0"/>
                      <w:sz w:val="24"/>
                      <w:szCs w:val="24"/>
                    </w:rPr>
                    <w:t>法，推广应用钢筋定位钢板等配套装备和机具，在材料搬运、钢筋加工、高空焊接等环节提升现场施工工业化水平。</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四）创新施工组织方式。完善与新型建筑工业化相适应的精益化施工组织方式，推广设计、采购、生产、施工一体化模式，实行装配式建筑装饰装修与主体结构、机电设备协同施工，发挥结构与装修穿插施工优势，提高施工现场精细化管理水平。</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五）提高施工质量和效益。加强构件和部品部件进场、施工安装、节点连接灌浆、密封防水等关键部位和工序质量安全管控，强化对施工管理人员和一线作业人员的质量安全技术交底，通过全过程组织管理和技术优化集成，全面提升施工质量和效益。</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四、加快信息技术融合发展</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六）大力推广建筑信息模型（BIM）技术。加快推进BIM技术在新型建筑工业化全寿命期的一体化集成应用。充分利用社会资源，共同建立、维护基于BIM技术的标准化部品部件库，实现设计、采购、生产、建造、交付、运行维护等阶段的信息互联互通和交互共享。试点推进BIM报建审批和施工图BIM审图模式，推进与城市信息模型（CIM）平台的融通联动，提高信息化监管能力，提高建筑行业全产业</w:t>
                  </w:r>
                  <w:proofErr w:type="gramStart"/>
                  <w:r w:rsidRPr="002B0428">
                    <w:rPr>
                      <w:rFonts w:ascii="宋体" w:eastAsia="宋体" w:hAnsi="宋体" w:cs="宋体"/>
                      <w:kern w:val="0"/>
                      <w:sz w:val="24"/>
                      <w:szCs w:val="24"/>
                    </w:rPr>
                    <w:t>链资源</w:t>
                  </w:r>
                  <w:proofErr w:type="gramEnd"/>
                  <w:r w:rsidRPr="002B0428">
                    <w:rPr>
                      <w:rFonts w:ascii="宋体" w:eastAsia="宋体" w:hAnsi="宋体" w:cs="宋体"/>
                      <w:kern w:val="0"/>
                      <w:sz w:val="24"/>
                      <w:szCs w:val="24"/>
                    </w:rPr>
                    <w:t>配置效率。</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七）加快应用大数据技术。推动大数据技术在工程项目管理、招标投标环节和信用体系建设中的应用，依托全国建筑市场监管公共服务平台，汇聚整合和分析相关企业、项目、从业人员和信用信息等相关大数据，支撑市场监测和数据分析，提高建筑行业公共服务能力和监管效率。</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（十八）推广应用物联网技术。推动传感器网络、低功耗广域网、5G、边缘计算、射频识别（RFID）及</w:t>
                  </w:r>
                  <w:proofErr w:type="gramStart"/>
                  <w:r w:rsidRPr="002B0428">
                    <w:rPr>
                      <w:rFonts w:ascii="宋体" w:eastAsia="宋体" w:hAnsi="宋体" w:cs="宋体"/>
                      <w:kern w:val="0"/>
                      <w:sz w:val="24"/>
                      <w:szCs w:val="24"/>
                    </w:rPr>
                    <w:t>二维码识别</w:t>
                  </w:r>
                  <w:proofErr w:type="gramEnd"/>
                  <w:r w:rsidRPr="002B0428">
                    <w:rPr>
                      <w:rFonts w:ascii="宋体" w:eastAsia="宋体" w:hAnsi="宋体" w:cs="宋体"/>
                      <w:kern w:val="0"/>
                      <w:sz w:val="24"/>
                      <w:szCs w:val="24"/>
                    </w:rPr>
                    <w:t>等物联网技术在智慧工地的集成应用，发展可穿戴设备，提高建筑工人健康及安全监测能力，推动物联网技术在监控管理、节能减排和智能建筑中的应用。</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（十九）推进发展智能建造技术。加快新型建筑工业化与高端制造业深度融合，搭建建筑产业互联网平台。推动智能光</w:t>
                  </w:r>
                  <w:proofErr w:type="gramStart"/>
                  <w:r w:rsidRPr="002B0428">
                    <w:rPr>
                      <w:rFonts w:ascii="宋体" w:eastAsia="宋体" w:hAnsi="宋体" w:cs="宋体"/>
                      <w:kern w:val="0"/>
                      <w:sz w:val="24"/>
                      <w:szCs w:val="24"/>
                    </w:rPr>
                    <w:t>伏应用</w:t>
                  </w:r>
                  <w:proofErr w:type="gramEnd"/>
                  <w:r w:rsidRPr="002B0428">
                    <w:rPr>
                      <w:rFonts w:ascii="宋体" w:eastAsia="宋体" w:hAnsi="宋体" w:cs="宋体"/>
                      <w:kern w:val="0"/>
                      <w:sz w:val="24"/>
                      <w:szCs w:val="24"/>
                    </w:rPr>
                    <w:t>示范，促进与建筑相结合的光伏发电系统应用。开展生产装备、施工设备的智能化升级行动，鼓励应用建筑机器人、工业机器人、智能移动终端等智能设备。推</w:t>
                  </w:r>
                  <w:r w:rsidRPr="002B0428">
                    <w:rPr>
                      <w:rFonts w:ascii="宋体" w:eastAsia="宋体" w:hAnsi="宋体" w:cs="宋体"/>
                      <w:kern w:val="0"/>
                      <w:sz w:val="24"/>
                      <w:szCs w:val="24"/>
                    </w:rPr>
                    <w:lastRenderedPageBreak/>
                    <w:t>广智能家居、智能办公、楼宇自动化系统，提升建筑的便捷性和舒适度。</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五、创新组织管理模式</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大力推行工程总承包。新型建筑工业化项目积极推行工程总承包模式，促进设计、生产、施工深度融合。引导骨干企业提高项目管理、技术创新和资源配置能力，培育具有综合管理能力的工程总承包企业，落实工程总承包单位的主体责任，保障工程总承包单位的合法权益。</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（二十一）发展全过程工程咨询。大力发展以市场需求为导向、满足委托方多样化需求的全过程工程咨询服务，培育具备勘察、设计、监理、招标代理、造价等业务能力的全过程工程咨询企业。</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（二十二）完善预制构件监管。加强预制构件质量管理，积极采用驻厂监造制度，实行全过程质量责任追溯，鼓励采用构件生产企业备案管理、构件质量飞行检查等手段，建立长效机制。</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（二十三）探索工程保险制度。建立完善工程质量保险和担保制度，通过保险的风险事故预防和费率调节机制帮助企业加强风险管控，保障建筑工程质量。</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（二十四）建立使用者监督机制。编制绿色住宅购房人</w:t>
                  </w:r>
                  <w:proofErr w:type="gramStart"/>
                  <w:r w:rsidRPr="002B0428">
                    <w:rPr>
                      <w:rFonts w:ascii="宋体" w:eastAsia="宋体" w:hAnsi="宋体" w:cs="宋体"/>
                      <w:kern w:val="0"/>
                      <w:sz w:val="24"/>
                      <w:szCs w:val="24"/>
                    </w:rPr>
                    <w:t>验房指南</w:t>
                  </w:r>
                  <w:proofErr w:type="gramEnd"/>
                  <w:r w:rsidRPr="002B0428">
                    <w:rPr>
                      <w:rFonts w:ascii="宋体" w:eastAsia="宋体" w:hAnsi="宋体" w:cs="宋体"/>
                      <w:kern w:val="0"/>
                      <w:sz w:val="24"/>
                      <w:szCs w:val="24"/>
                    </w:rPr>
                    <w:t>，鼓励将住宅绿色性能和全装修质量相关指标纳入商品房买卖合同、住宅质量保证书和住宅使用说明书，明确质量保修责任和纠纷处理方式，保障购房人权益。</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六、强化科技支撑</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（二十五）培育科技创新基地。组建一批新型建筑工业化技术创新中心、重点实验室等创新基地，鼓励骨干企业、高等院校、科研院所等联合建立新型建筑工业化产业技术创新联盟。</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六）加大科技研发力度。大力支持BIM底层平台软件的研发，加大钢结构住宅在围护体系、材料性能、连接工艺等方面的联合攻关，加快装配式混凝土结构灌浆质量检测和高效连接技术研发，加强建筑机器人等智能建造技术产品研发。</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（二十七）推动科技成果转化。建立新型建筑工业化重大科技成果库，加大科技成果公开，促进科技成果转化应用，推动建筑领域新技术、新材料、新产品、新工艺创新发展。</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七、加快专业人才培育</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（二十八）培育专业技术管理人才。大力培养新型建筑工业化专业人才，壮大设计、生产、施工、管理等方面人才队伍，加强新型建筑工业化专业技术人员继续教育，鼓励企业建立首席信息官（CIO）制度。</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二十九）培育技能型产业工人。深化建筑用工制度改革，完善建筑业从业人员技能水平评价体系，促进学历证书与职业技能等级证书融通衔接。打通建筑工人职业化发展道路，弘扬工匠精神，加强职业技能培训，大力培育产业工人队伍。</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加大后备人才培养。推动新型建筑工业化相关企业开展校企合作，支持校企共建一批现代产业学院，支持院校对接建筑行业发展新需求、新业态、新技术，开设装配式建筑相关课程，创新人才培养模式，提供专业人才保障。</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八、开展新型建筑工业化项目评价</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（三十一）制定评价标准。建立新型建筑工业化项目评价技术指标体系，重点突出信息化技术应用情况，引领建筑工程项目不断提高劳动生产率和建筑品质。</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（三十二）建立评价结果应用机制。鼓励新型建筑工业化项目单位在项目竣工后，按照评价标准开展</w:t>
                  </w:r>
                  <w:proofErr w:type="gramStart"/>
                  <w:r w:rsidRPr="002B0428">
                    <w:rPr>
                      <w:rFonts w:ascii="宋体" w:eastAsia="宋体" w:hAnsi="宋体" w:cs="宋体"/>
                      <w:kern w:val="0"/>
                      <w:sz w:val="24"/>
                      <w:szCs w:val="24"/>
                    </w:rPr>
                    <w:t>自评价</w:t>
                  </w:r>
                  <w:proofErr w:type="gramEnd"/>
                  <w:r w:rsidRPr="002B0428">
                    <w:rPr>
                      <w:rFonts w:ascii="宋体" w:eastAsia="宋体" w:hAnsi="宋体" w:cs="宋体"/>
                      <w:kern w:val="0"/>
                      <w:sz w:val="24"/>
                      <w:szCs w:val="24"/>
                    </w:rPr>
                    <w:t>或委托第三方评价，积极探索区域性新型建筑工业化系统评价，评价结果可作为奖励政策重要参考。</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九、加大政策扶持力度</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三）强化项目落地。各地住房和城乡建设部门要会同有关部门组织编制新型建筑工业化专项规划和年度发展计划，明确发展目标、重点任务和具体实施范围。要加大推进力度，在项目立项、项目审批、项目管理各环节明确新型建筑工业化的鼓励性措施。政府投资工程要带头按照新型建筑工业化方式建设，鼓励支持社会投资项目采用新型建筑工业化方式。</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lastRenderedPageBreak/>
                    <w:t xml:space="preserve">　　（三十四）加大金融扶持。支持新型建筑工业化企业通过发行企业债券、公司债券等方式开展融资。完善绿色金融支持新型建筑工业化的政策环境，积极探索多元化绿色金融支持方式，对达到绿色建筑星级标准的新型建筑工业化项目给予绿色金融支持。用好国家绿色发展基金，在</w:t>
                  </w:r>
                  <w:proofErr w:type="gramStart"/>
                  <w:r w:rsidRPr="002B0428">
                    <w:rPr>
                      <w:rFonts w:ascii="宋体" w:eastAsia="宋体" w:hAnsi="宋体" w:cs="宋体"/>
                      <w:kern w:val="0"/>
                      <w:sz w:val="24"/>
                      <w:szCs w:val="24"/>
                    </w:rPr>
                    <w:t>不</w:t>
                  </w:r>
                  <w:proofErr w:type="gramEnd"/>
                  <w:r w:rsidRPr="002B0428">
                    <w:rPr>
                      <w:rFonts w:ascii="宋体" w:eastAsia="宋体" w:hAnsi="宋体" w:cs="宋体"/>
                      <w:kern w:val="0"/>
                      <w:sz w:val="24"/>
                      <w:szCs w:val="24"/>
                    </w:rPr>
                    <w:t>新增隐性债务的前提下鼓励各地设立专项基金。</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五）加大环保政策支持。支持施工企业做好环境影响评价和监测，在重污染天气期间，装配式等新型建筑工业化项目在非土石方作业的施工环节可以不停工。建立建筑垃圾排放限额标准，开展施工现场建筑垃圾排放公示，鼓励各地对施工现场达到建筑垃圾减量化要求的施工企业给予奖励。</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（三十六）加强科技推广支持。推动国家重点研发计划和科研项目支持新型建筑工业化技术研发，鼓励各地优先将新型建筑工业化相关技术纳入住房和城乡建设领域推广应用技术公告和科技成果推广目录。</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t xml:space="preserve">　　（三十七）加大评奖评优政策支持。将城市新型建筑工业化发展水平纳入中国人居环境奖评选、国家生态园林城市评估指标体系。大力支持新型建筑工业化项目参与绿色建筑创新奖评选。</w:t>
                  </w:r>
                </w:p>
                <w:p w:rsidR="002B0428" w:rsidRPr="002B0428" w:rsidRDefault="002B0428" w:rsidP="002B0428">
                  <w:pPr>
                    <w:widowControl/>
                    <w:jc w:val="left"/>
                    <w:rPr>
                      <w:rFonts w:ascii="宋体" w:eastAsia="宋体" w:hAnsi="宋体" w:cs="宋体"/>
                      <w:kern w:val="0"/>
                      <w:sz w:val="24"/>
                      <w:szCs w:val="24"/>
                    </w:rPr>
                  </w:pPr>
                  <w:r w:rsidRPr="002B0428">
                    <w:rPr>
                      <w:rFonts w:ascii="宋体" w:eastAsia="宋体" w:hAnsi="宋体" w:cs="宋体"/>
                      <w:kern w:val="0"/>
                      <w:sz w:val="24"/>
                      <w:szCs w:val="24"/>
                    </w:rPr>
                    <w:br/>
                    <w:t xml:space="preserve">　　　　　　　　　　　　　　　　　　　　　　　　　　　　　　　　　　　　中华人民共和国住房和城乡建设部</w:t>
                  </w:r>
                  <w:r w:rsidRPr="002B0428">
                    <w:rPr>
                      <w:rFonts w:ascii="宋体" w:eastAsia="宋体" w:hAnsi="宋体" w:cs="宋体"/>
                      <w:kern w:val="0"/>
                      <w:sz w:val="24"/>
                      <w:szCs w:val="24"/>
                    </w:rPr>
                    <w:br/>
                  </w:r>
                  <w:proofErr w:type="gramStart"/>
                  <w:r w:rsidRPr="002B0428">
                    <w:rPr>
                      <w:rFonts w:ascii="宋体" w:eastAsia="宋体" w:hAnsi="宋体" w:cs="宋体"/>
                      <w:kern w:val="0"/>
                      <w:sz w:val="24"/>
                      <w:szCs w:val="24"/>
                    </w:rPr>
                    <w:t xml:space="preserve">　　　　　　　　　　　　　　　　　　　　　　　　　　　　　　　　　　　　　　</w:t>
                  </w:r>
                  <w:proofErr w:type="gramEnd"/>
                  <w:r w:rsidRPr="002B0428">
                    <w:rPr>
                      <w:rFonts w:ascii="宋体" w:eastAsia="宋体" w:hAnsi="宋体" w:cs="宋体"/>
                      <w:kern w:val="0"/>
                      <w:sz w:val="24"/>
                      <w:szCs w:val="24"/>
                    </w:rPr>
                    <w:t>中华人民共和国教育部</w:t>
                  </w:r>
                  <w:r w:rsidRPr="002B0428">
                    <w:rPr>
                      <w:rFonts w:ascii="宋体" w:eastAsia="宋体" w:hAnsi="宋体" w:cs="宋体"/>
                      <w:kern w:val="0"/>
                      <w:sz w:val="24"/>
                      <w:szCs w:val="24"/>
                    </w:rPr>
                    <w:br/>
                  </w:r>
                  <w:proofErr w:type="gramStart"/>
                  <w:r w:rsidRPr="002B0428">
                    <w:rPr>
                      <w:rFonts w:ascii="宋体" w:eastAsia="宋体" w:hAnsi="宋体" w:cs="宋体"/>
                      <w:kern w:val="0"/>
                      <w:sz w:val="24"/>
                      <w:szCs w:val="24"/>
                    </w:rPr>
                    <w:t xml:space="preserve">　　　　　　　　　　　　　　　　　　　　　　　　　　　　　　　　　　　　　</w:t>
                  </w:r>
                  <w:proofErr w:type="gramEnd"/>
                  <w:r w:rsidRPr="002B0428">
                    <w:rPr>
                      <w:rFonts w:ascii="宋体" w:eastAsia="宋体" w:hAnsi="宋体" w:cs="宋体"/>
                      <w:kern w:val="0"/>
                      <w:sz w:val="24"/>
                      <w:szCs w:val="24"/>
                    </w:rPr>
                    <w:t>中华人民共和国科学技术部</w:t>
                  </w:r>
                  <w:r w:rsidRPr="002B0428">
                    <w:rPr>
                      <w:rFonts w:ascii="宋体" w:eastAsia="宋体" w:hAnsi="宋体" w:cs="宋体"/>
                      <w:kern w:val="0"/>
                      <w:sz w:val="24"/>
                      <w:szCs w:val="24"/>
                    </w:rPr>
                    <w:br/>
                  </w:r>
                  <w:proofErr w:type="gramStart"/>
                  <w:r w:rsidRPr="002B0428">
                    <w:rPr>
                      <w:rFonts w:ascii="宋体" w:eastAsia="宋体" w:hAnsi="宋体" w:cs="宋体"/>
                      <w:kern w:val="0"/>
                      <w:sz w:val="24"/>
                      <w:szCs w:val="24"/>
                    </w:rPr>
                    <w:t xml:space="preserve">　　　　　　　　　　　　　　　　　　　　　　　　　　　　　　　　　　　　</w:t>
                  </w:r>
                  <w:proofErr w:type="gramEnd"/>
                  <w:r w:rsidRPr="002B0428">
                    <w:rPr>
                      <w:rFonts w:ascii="宋体" w:eastAsia="宋体" w:hAnsi="宋体" w:cs="宋体"/>
                      <w:kern w:val="0"/>
                      <w:sz w:val="24"/>
                      <w:szCs w:val="24"/>
                    </w:rPr>
                    <w:t>中华人民共和国工业和信息化部</w:t>
                  </w:r>
                  <w:r w:rsidRPr="002B0428">
                    <w:rPr>
                      <w:rFonts w:ascii="宋体" w:eastAsia="宋体" w:hAnsi="宋体" w:cs="宋体"/>
                      <w:kern w:val="0"/>
                      <w:sz w:val="24"/>
                      <w:szCs w:val="24"/>
                    </w:rPr>
                    <w:br/>
                  </w:r>
                  <w:proofErr w:type="gramStart"/>
                  <w:r w:rsidRPr="002B0428">
                    <w:rPr>
                      <w:rFonts w:ascii="宋体" w:eastAsia="宋体" w:hAnsi="宋体" w:cs="宋体"/>
                      <w:kern w:val="0"/>
                      <w:sz w:val="24"/>
                      <w:szCs w:val="24"/>
                    </w:rPr>
                    <w:t xml:space="preserve">　　　　　　　　　　　　　　　　　　　　　　　　　　　</w:t>
                  </w:r>
                  <w:proofErr w:type="gramEnd"/>
                  <w:r w:rsidRPr="002B0428">
                    <w:rPr>
                      <w:rFonts w:ascii="宋体" w:eastAsia="宋体" w:hAnsi="宋体" w:cs="宋体"/>
                      <w:kern w:val="0"/>
                      <w:sz w:val="24"/>
                      <w:szCs w:val="24"/>
                    </w:rPr>
                    <w:t xml:space="preserve">　　　　　　　　　　中华人民共和国自然资源部</w:t>
                  </w:r>
                  <w:r w:rsidRPr="002B0428">
                    <w:rPr>
                      <w:rFonts w:ascii="宋体" w:eastAsia="宋体" w:hAnsi="宋体" w:cs="宋体"/>
                      <w:kern w:val="0"/>
                      <w:sz w:val="24"/>
                      <w:szCs w:val="24"/>
                    </w:rPr>
                    <w:br/>
                    <w:t xml:space="preserve">　　　　　　　　　　　　　　　　　　　　　　　　　　　　　　　　　　　　　中华人民共和国生态环境部</w:t>
                  </w:r>
                  <w:r w:rsidRPr="002B0428">
                    <w:rPr>
                      <w:rFonts w:ascii="宋体" w:eastAsia="宋体" w:hAnsi="宋体" w:cs="宋体"/>
                      <w:kern w:val="0"/>
                      <w:sz w:val="24"/>
                      <w:szCs w:val="24"/>
                    </w:rPr>
                    <w:br/>
                    <w:t xml:space="preserve">　　　　　　　　　　　　　　　　　　　　　　　　　　　　　　　　　　　　　　　　中国人民银行</w:t>
                  </w:r>
                  <w:r w:rsidRPr="002B0428">
                    <w:rPr>
                      <w:rFonts w:ascii="宋体" w:eastAsia="宋体" w:hAnsi="宋体" w:cs="宋体"/>
                      <w:kern w:val="0"/>
                      <w:sz w:val="24"/>
                      <w:szCs w:val="24"/>
                    </w:rPr>
                    <w:br/>
                    <w:t xml:space="preserve">　　　　　　　　　　　　　　　　　　　　　　　　　　　　　　　　　　　　　　国家市场监督管理总局</w:t>
                  </w:r>
                  <w:r w:rsidRPr="002B0428">
                    <w:rPr>
                      <w:rFonts w:ascii="宋体" w:eastAsia="宋体" w:hAnsi="宋体" w:cs="宋体"/>
                      <w:kern w:val="0"/>
                      <w:sz w:val="24"/>
                      <w:szCs w:val="24"/>
                    </w:rPr>
                    <w:br/>
                    <w:t xml:space="preserve">　　　　　　　　　　　　　　　　　　　　　　　　　　　　　　　　　　　　　中国银行保险监督管理委员会</w:t>
                  </w:r>
                  <w:r w:rsidRPr="002B0428">
                    <w:rPr>
                      <w:rFonts w:ascii="宋体" w:eastAsia="宋体" w:hAnsi="宋体" w:cs="宋体"/>
                      <w:kern w:val="0"/>
                      <w:sz w:val="24"/>
                      <w:szCs w:val="24"/>
                    </w:rPr>
                    <w:br/>
                    <w:t xml:space="preserve">　　　　　　　　　　　　　　　　　　　　　　　　　　　　　　　　　　　　　　　　2020年8月28日</w:t>
                  </w:r>
                </w:p>
              </w:tc>
            </w:tr>
          </w:tbl>
          <w:p w:rsidR="002B0428" w:rsidRPr="002B0428" w:rsidRDefault="002B0428" w:rsidP="002B0428">
            <w:pPr>
              <w:widowControl/>
              <w:jc w:val="center"/>
              <w:rPr>
                <w:rFonts w:ascii="微软雅黑" w:eastAsia="微软雅黑" w:hAnsi="微软雅黑" w:cs="宋体"/>
                <w:color w:val="000000"/>
                <w:kern w:val="0"/>
                <w:sz w:val="18"/>
                <w:szCs w:val="18"/>
              </w:rPr>
            </w:pPr>
          </w:p>
        </w:tc>
      </w:tr>
    </w:tbl>
    <w:p w:rsidR="00F41082" w:rsidRDefault="002B0428">
      <w:pPr>
        <w:rPr>
          <w:rFonts w:hint="eastAsia"/>
        </w:rPr>
      </w:pPr>
    </w:p>
    <w:sectPr w:rsidR="00F41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428"/>
    <w:rsid w:val="002B0428"/>
    <w:rsid w:val="00D503CE"/>
    <w:rsid w:val="00F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109">
      <w:bodyDiv w:val="1"/>
      <w:marLeft w:val="0"/>
      <w:marRight w:val="0"/>
      <w:marTop w:val="0"/>
      <w:marBottom w:val="0"/>
      <w:divBdr>
        <w:top w:val="none" w:sz="0" w:space="0" w:color="auto"/>
        <w:left w:val="none" w:sz="0" w:space="0" w:color="auto"/>
        <w:bottom w:val="none" w:sz="0" w:space="0" w:color="auto"/>
        <w:right w:val="none" w:sz="0" w:space="0" w:color="auto"/>
      </w:divBdr>
      <w:divsChild>
        <w:div w:id="690492758">
          <w:marLeft w:val="0"/>
          <w:marRight w:val="0"/>
          <w:marTop w:val="0"/>
          <w:marBottom w:val="0"/>
          <w:divBdr>
            <w:top w:val="none" w:sz="0" w:space="0" w:color="auto"/>
            <w:left w:val="none" w:sz="0" w:space="0" w:color="auto"/>
            <w:bottom w:val="none" w:sz="0" w:space="0" w:color="auto"/>
            <w:right w:val="none" w:sz="0" w:space="0" w:color="auto"/>
          </w:divBdr>
          <w:divsChild>
            <w:div w:id="4053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777</Words>
  <Characters>4429</Characters>
  <Application>Microsoft Office Word</Application>
  <DocSecurity>0</DocSecurity>
  <Lines>36</Lines>
  <Paragraphs>10</Paragraphs>
  <ScaleCrop>false</ScaleCrop>
  <Company>MS</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2020-10-30T10:59:00Z</dcterms:created>
  <dcterms:modified xsi:type="dcterms:W3CDTF">2020-10-30T11:02:00Z</dcterms:modified>
</cp:coreProperties>
</file>