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AB" w:rsidRDefault="006B7EAB">
      <w:r>
        <w:pict>
          <v:shape id="_x0000_s1027" type="#_x0000_t75" style="position:absolute;left:0;text-align:left;margin-left:282.4pt;margin-top:-28.15pt;width:230.05pt;height:45.35pt;z-index:251664384">
            <v:imagedata r:id="rId8" o:title="反白-横板"/>
          </v:shape>
        </w:pict>
      </w:r>
      <w:r w:rsidR="00E164F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-200025</wp:posOffset>
            </wp:positionV>
            <wp:extent cx="2353310" cy="358140"/>
            <wp:effectExtent l="0" t="0" r="0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rect id="_x0000_s1026" style="position:absolute;left:0;text-align:left;margin-left:-5.8pt;margin-top:-49.75pt;width:601.3pt;height:840.65pt;z-index:-251657216;mso-position-horizontal-relative:page;mso-position-vertical-relative:text;v-text-anchor:middle" o:gfxdata="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m63CxtoAAAANAQAADwAAAAAAAAABACAAAAAiAAAAZHJzL2Rvd25y&#10;ZXYueG1sUEsBAhQAFAAAAAgAh07iQPypLqFuAgAAzQQAAA4AAAAAAAAAAQAgAAAAKQEAAGRycy9l&#10;Mm9Eb2MueG1sUEsFBgAAAAAGAAYAWQEAAAkGAAAAAA==&#10;" fillcolor="#7030a0" stroked="f" strokeweight="1pt">
            <w10:wrap anchorx="page"/>
          </v:rect>
        </w:pict>
      </w:r>
      <w:r w:rsidR="00E164FA">
        <w:t xml:space="preserve"> </w:t>
      </w:r>
    </w:p>
    <w:p w:rsidR="006B7EAB" w:rsidRDefault="00E164F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402590</wp:posOffset>
            </wp:positionV>
            <wp:extent cx="7926070" cy="5293360"/>
            <wp:effectExtent l="19050" t="19050" r="17780" b="21590"/>
            <wp:wrapThrough wrapText="bothSides">
              <wp:wrapPolygon edited="0">
                <wp:start x="-52" y="-78"/>
                <wp:lineTo x="-52" y="21610"/>
                <wp:lineTo x="21597" y="21610"/>
                <wp:lineTo x="21597" y="-78"/>
                <wp:lineTo x="-52" y="-78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070" cy="5293360"/>
                    </a:xfrm>
                    <a:prstGeom prst="rect">
                      <a:avLst/>
                    </a:prstGeom>
                    <a:blipFill>
                      <a:blip r:embed="rId10"/>
                      <a:stretch>
                        <a:fillRect/>
                      </a:stretch>
                    </a:blipFill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6B7EAB">
        <w:pict>
          <v:rect id="_x0000_s1030" style="position:absolute;left:0;text-align:left;margin-left:0;margin-top:250.55pt;width:597.35pt;height:205.2pt;z-index:251663360;mso-position-horizontal:left;mso-position-horizontal-relative:page;mso-position-vertical-relative:text;v-text-anchor:middle" o:gfxdata="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KqpFUXYAAAACQEAAA8A&#10;AAAAAAAAAQAgAAAAIgAAAGRycy9kb3ducmV2LnhtbFBLAQIUABQAAAAIAIdO4kCKhSVawgIAAI0F&#10;AAAOAAAAAAAAAAEAIAAAACcBAABkcnMvZTJvRG9jLnhtbFBLBQYAAAAABgAGAFkBAABbBgAAAAA=&#10;" fillcolor="#7030a0" stroked="f" strokeweight="1pt">
            <v:fill opacity="0" color2="#7030a0" rotate="t" focus="100%" type="gradient"/>
            <w10:wrap anchorx="page"/>
          </v:rect>
        </w:pict>
      </w:r>
      <w:r w:rsidR="006B7EA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9" type="#_x0000_t202" style="position:absolute;left:0;text-align:left;margin-left:106.15pt;margin-top:487.3pt;width:421.05pt;height:110.6pt;z-index:251660288;mso-height-percent:200;mso-wrap-distance-top:3.6pt;mso-wrap-distance-bottom:3.6pt;mso-position-horizontal-relative:page;mso-position-vertical-relative:text;mso-height-percent:200;mso-height-relative:margin" o:gfxdata="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RZ2kLbAAAADQEAAA8AAAAAAAAAAQAgAAAAIgAAAGRycy9kb3ducmV2LnhtbFBLAQIU&#10;ABQAAAAIAIdO4kCH0l2NKQIAACwEAAAOAAAAAAAAAAEAIAAAACoBAABkcnMvZTJvRG9jLnhtbFBL&#10;BQYAAAAABgAGAFkBAADFBQAAAAA=&#10;" filled="f" stroked="f">
            <v:textbox style="mso-fit-shape-to-text:t">
              <w:txbxContent>
                <w:p w:rsidR="006B7EAB" w:rsidRDefault="00E164FA">
                  <w:pPr>
                    <w:jc w:val="right"/>
                    <w:rPr>
                      <w:rFonts w:ascii="微软雅黑" w:hAnsi="微软雅黑"/>
                      <w:color w:val="DCC3A8"/>
                      <w:sz w:val="28"/>
                      <w:szCs w:val="32"/>
                    </w:rPr>
                  </w:pPr>
                  <w:r>
                    <w:rPr>
                      <w:rFonts w:ascii="微软雅黑" w:hAnsi="微软雅黑" w:hint="eastAsia"/>
                      <w:color w:val="DCC3A8"/>
                      <w:sz w:val="28"/>
                      <w:szCs w:val="32"/>
                    </w:rPr>
                    <w:t>The University of Hong Kong</w:t>
                  </w:r>
                </w:p>
                <w:p w:rsidR="006B7EAB" w:rsidRDefault="00E164FA">
                  <w:pPr>
                    <w:spacing w:line="880" w:lineRule="exact"/>
                    <w:jc w:val="right"/>
                    <w:rPr>
                      <w:rFonts w:ascii="微软雅黑" w:hAnsi="微软雅黑"/>
                      <w:b/>
                      <w:bCs/>
                      <w:color w:val="FFFFFF" w:themeColor="background1"/>
                      <w:sz w:val="80"/>
                      <w:szCs w:val="80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FFFFFF" w:themeColor="background1"/>
                      <w:sz w:val="80"/>
                      <w:szCs w:val="80"/>
                    </w:rPr>
                    <w:t>香港大学</w:t>
                  </w:r>
                </w:p>
                <w:p w:rsidR="006B7EAB" w:rsidRDefault="00E164FA">
                  <w:pPr>
                    <w:spacing w:line="880" w:lineRule="exact"/>
                    <w:jc w:val="right"/>
                    <w:rPr>
                      <w:rFonts w:ascii="微软雅黑" w:hAnsi="微软雅黑"/>
                      <w:color w:val="FFFFFF" w:themeColor="background1"/>
                      <w:sz w:val="80"/>
                      <w:szCs w:val="80"/>
                    </w:rPr>
                  </w:pPr>
                  <w:r>
                    <w:rPr>
                      <w:rFonts w:ascii="微软雅黑" w:hAnsi="微软雅黑" w:hint="eastAsia"/>
                      <w:color w:val="FFFFFF" w:themeColor="background1"/>
                      <w:sz w:val="80"/>
                      <w:szCs w:val="80"/>
                    </w:rPr>
                    <w:t>实地访学项目简章</w:t>
                  </w:r>
                </w:p>
                <w:p w:rsidR="006B7EAB" w:rsidRDefault="006B7EAB">
                  <w:pPr>
                    <w:spacing w:line="880" w:lineRule="exact"/>
                    <w:jc w:val="right"/>
                    <w:rPr>
                      <w:rFonts w:ascii="微软雅黑" w:hAnsi="微软雅黑"/>
                      <w:color w:val="FFFFFF" w:themeColor="background1"/>
                      <w:sz w:val="80"/>
                      <w:szCs w:val="80"/>
                    </w:rPr>
                  </w:pPr>
                </w:p>
                <w:p w:rsidR="006B7EAB" w:rsidRDefault="00E164FA">
                  <w:pPr>
                    <w:spacing w:line="880" w:lineRule="exact"/>
                    <w:jc w:val="right"/>
                    <w:rPr>
                      <w:rFonts w:ascii="微软雅黑" w:hAnsi="微软雅黑"/>
                      <w:color w:val="E5B48F"/>
                      <w:sz w:val="40"/>
                      <w:szCs w:val="40"/>
                    </w:rPr>
                  </w:pPr>
                  <w:r>
                    <w:rPr>
                      <w:rFonts w:ascii="微软雅黑" w:hAnsi="微软雅黑" w:hint="eastAsia"/>
                      <w:color w:val="E5B48F"/>
                      <w:sz w:val="40"/>
                      <w:szCs w:val="40"/>
                    </w:rPr>
                    <w:t>2</w:t>
                  </w:r>
                  <w:r>
                    <w:rPr>
                      <w:rFonts w:ascii="微软雅黑" w:hAnsi="微软雅黑"/>
                      <w:color w:val="E5B48F"/>
                      <w:sz w:val="40"/>
                      <w:szCs w:val="40"/>
                    </w:rPr>
                    <w:t>024</w:t>
                  </w:r>
                  <w:r>
                    <w:rPr>
                      <w:rFonts w:ascii="微软雅黑" w:hAnsi="微软雅黑" w:hint="eastAsia"/>
                      <w:color w:val="E5B48F"/>
                      <w:sz w:val="40"/>
                      <w:szCs w:val="40"/>
                    </w:rPr>
                    <w:t>暑期</w:t>
                  </w:r>
                </w:p>
              </w:txbxContent>
            </v:textbox>
            <w10:wrap type="square" anchorx="page"/>
          </v:shape>
        </w:pict>
      </w:r>
      <w:r>
        <w:br w:type="page"/>
      </w:r>
    </w:p>
    <w:p w:rsidR="006B7EAB" w:rsidRDefault="00E164FA">
      <w:pPr>
        <w:spacing w:line="400" w:lineRule="exact"/>
        <w:rPr>
          <w:rFonts w:ascii="微软雅黑" w:hAnsi="微软雅黑" w:cs="微软雅黑"/>
          <w:color w:val="7030A0"/>
        </w:rPr>
      </w:pP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lastRenderedPageBreak/>
        <w:t>一、项目背景</w:t>
      </w: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 xml:space="preserve">                                                                       </w:t>
      </w:r>
    </w:p>
    <w:p w:rsidR="006B7EAB" w:rsidRDefault="00E164FA">
      <w:pPr>
        <w:spacing w:line="400" w:lineRule="exact"/>
        <w:ind w:firstLineChars="200" w:firstLine="420"/>
        <w:rPr>
          <w:rFonts w:ascii="微软雅黑" w:hAnsi="微软雅黑" w:cs="微软雅黑"/>
          <w:color w:val="000000" w:themeColor="text1"/>
        </w:rPr>
      </w:pPr>
      <w:r>
        <w:rPr>
          <w:rFonts w:ascii="微软雅黑" w:hAnsi="微软雅黑" w:cs="微软雅黑" w:hint="eastAsia"/>
          <w:color w:val="000000" w:themeColor="text1"/>
        </w:rPr>
        <w:t>香港大学（</w:t>
      </w:r>
      <w:r>
        <w:rPr>
          <w:rFonts w:ascii="微软雅黑" w:hAnsi="微软雅黑" w:cs="微软雅黑" w:hint="eastAsia"/>
          <w:color w:val="000000" w:themeColor="text1"/>
        </w:rPr>
        <w:t>The University of Hong Kong</w:t>
      </w:r>
      <w:r>
        <w:rPr>
          <w:rFonts w:ascii="微软雅黑" w:hAnsi="微软雅黑" w:cs="微软雅黑" w:hint="eastAsia"/>
          <w:color w:val="000000" w:themeColor="text1"/>
        </w:rPr>
        <w:t>），是中国香港的一所综合性国际化公立研究型大学，有亚洲“常春藤”之称。校训为</w:t>
      </w:r>
      <w:r>
        <w:rPr>
          <w:rFonts w:ascii="微软雅黑" w:hAnsi="微软雅黑" w:cs="微软雅黑" w:hint="eastAsia"/>
          <w:color w:val="000000" w:themeColor="text1"/>
        </w:rPr>
        <w:t xml:space="preserve"> </w:t>
      </w:r>
      <w:r>
        <w:rPr>
          <w:rFonts w:ascii="微软雅黑" w:hAnsi="微软雅黑" w:cs="微软雅黑" w:hint="eastAsia"/>
          <w:color w:val="000000" w:themeColor="text1"/>
        </w:rPr>
        <w:t>“明德格物”，对应拉丁文为</w:t>
      </w:r>
      <w:r>
        <w:rPr>
          <w:rFonts w:ascii="微软雅黑" w:hAnsi="微软雅黑" w:cs="微软雅黑" w:hint="eastAsia"/>
          <w:color w:val="000000" w:themeColor="text1"/>
        </w:rPr>
        <w:t>Sapientia Et Virtus</w:t>
      </w:r>
      <w:r>
        <w:rPr>
          <w:rFonts w:ascii="微软雅黑" w:hAnsi="微软雅黑" w:cs="微软雅黑" w:hint="eastAsia"/>
          <w:color w:val="000000" w:themeColor="text1"/>
        </w:rPr>
        <w:t>。香港大学</w:t>
      </w:r>
      <w:r>
        <w:rPr>
          <w:rFonts w:ascii="微软雅黑" w:hAnsi="微软雅黑" w:cs="微软雅黑" w:hint="eastAsia"/>
          <w:color w:val="000000" w:themeColor="text1"/>
        </w:rPr>
        <w:t>1911</w:t>
      </w:r>
      <w:r>
        <w:rPr>
          <w:rFonts w:ascii="微软雅黑" w:hAnsi="微软雅黑" w:cs="微软雅黑" w:hint="eastAsia"/>
          <w:color w:val="000000" w:themeColor="text1"/>
        </w:rPr>
        <w:t>年</w:t>
      </w:r>
      <w:r>
        <w:rPr>
          <w:rFonts w:ascii="微软雅黑" w:hAnsi="微软雅黑" w:cs="微软雅黑" w:hint="eastAsia"/>
          <w:color w:val="000000" w:themeColor="text1"/>
        </w:rPr>
        <w:t>3</w:t>
      </w:r>
      <w:r>
        <w:rPr>
          <w:rFonts w:ascii="微软雅黑" w:hAnsi="微软雅黑" w:cs="微软雅黑" w:hint="eastAsia"/>
          <w:color w:val="000000" w:themeColor="text1"/>
        </w:rPr>
        <w:t>月</w:t>
      </w:r>
      <w:r>
        <w:rPr>
          <w:rFonts w:ascii="微软雅黑" w:hAnsi="微软雅黑" w:cs="微软雅黑" w:hint="eastAsia"/>
          <w:color w:val="000000" w:themeColor="text1"/>
        </w:rPr>
        <w:t>30</w:t>
      </w:r>
      <w:r>
        <w:rPr>
          <w:rFonts w:ascii="微软雅黑" w:hAnsi="微软雅黑" w:cs="微软雅黑" w:hint="eastAsia"/>
          <w:color w:val="000000" w:themeColor="text1"/>
        </w:rPr>
        <w:t>日正式注册成立，其前身为香港西医书院，是香港历史最悠久的高等教育机构。香港大学自创校以来始终采用英语教学，其学术研究多可与欧美无缝对接、良性互动，也得益于此，在很长一段时间里，以医学、商科、人文、政法等领域见长的香港大学都是中国高等教育界一面独特的旗帜，享誉亚洲乃至世界。</w:t>
      </w:r>
    </w:p>
    <w:p w:rsidR="006B7EAB" w:rsidRDefault="00E164FA">
      <w:pPr>
        <w:spacing w:line="400" w:lineRule="exact"/>
        <w:ind w:firstLineChars="200" w:firstLine="420"/>
        <w:rPr>
          <w:rFonts w:ascii="微软雅黑" w:hAnsi="微软雅黑" w:cs="微软雅黑"/>
          <w:b/>
          <w:bCs/>
          <w:color w:val="000000" w:themeColor="text1"/>
        </w:rPr>
      </w:pPr>
      <w:r>
        <w:rPr>
          <w:rFonts w:ascii="微软雅黑" w:hAnsi="微软雅黑" w:cs="微软雅黑" w:hint="eastAsia"/>
          <w:b/>
          <w:bCs/>
          <w:color w:val="000000" w:themeColor="text1"/>
        </w:rPr>
        <w:t>香港大学</w:t>
      </w:r>
      <w:r>
        <w:rPr>
          <w:rFonts w:ascii="微软雅黑" w:hAnsi="微软雅黑" w:cs="微软雅黑" w:hint="eastAsia"/>
          <w:b/>
          <w:bCs/>
          <w:color w:val="000000" w:themeColor="text1"/>
        </w:rPr>
        <w:t>2024QS</w:t>
      </w:r>
      <w:r>
        <w:rPr>
          <w:rFonts w:ascii="微软雅黑" w:hAnsi="微软雅黑" w:cs="微软雅黑" w:hint="eastAsia"/>
          <w:b/>
          <w:bCs/>
          <w:color w:val="000000" w:themeColor="text1"/>
        </w:rPr>
        <w:t>世界大学排名第</w:t>
      </w:r>
      <w:r>
        <w:rPr>
          <w:rFonts w:ascii="微软雅黑" w:hAnsi="微软雅黑" w:cs="微软雅黑" w:hint="eastAsia"/>
          <w:b/>
          <w:bCs/>
          <w:color w:val="000000" w:themeColor="text1"/>
        </w:rPr>
        <w:t>26</w:t>
      </w:r>
      <w:r>
        <w:rPr>
          <w:rFonts w:ascii="微软雅黑" w:hAnsi="微软雅黑" w:cs="微软雅黑" w:hint="eastAsia"/>
          <w:b/>
          <w:bCs/>
          <w:color w:val="000000" w:themeColor="text1"/>
        </w:rPr>
        <w:t>位，</w:t>
      </w:r>
      <w:r>
        <w:rPr>
          <w:rFonts w:ascii="微软雅黑" w:hAnsi="微软雅黑" w:cs="微软雅黑" w:hint="eastAsia"/>
          <w:b/>
          <w:bCs/>
          <w:color w:val="000000" w:themeColor="text1"/>
        </w:rPr>
        <w:t>2024QS</w:t>
      </w:r>
      <w:r>
        <w:rPr>
          <w:rFonts w:ascii="微软雅黑" w:hAnsi="微软雅黑" w:cs="微软雅黑" w:hint="eastAsia"/>
          <w:b/>
          <w:bCs/>
          <w:color w:val="000000" w:themeColor="text1"/>
        </w:rPr>
        <w:t>亚洲地区大学排名第</w:t>
      </w:r>
      <w:r>
        <w:rPr>
          <w:rFonts w:ascii="微软雅黑" w:hAnsi="微软雅黑" w:cs="微软雅黑" w:hint="eastAsia"/>
          <w:b/>
          <w:bCs/>
          <w:color w:val="000000" w:themeColor="text1"/>
        </w:rPr>
        <w:t>4</w:t>
      </w:r>
      <w:r>
        <w:rPr>
          <w:rFonts w:ascii="微软雅黑" w:hAnsi="微软雅黑" w:cs="微软雅黑" w:hint="eastAsia"/>
          <w:b/>
          <w:bCs/>
          <w:color w:val="000000" w:themeColor="text1"/>
        </w:rPr>
        <w:t>位。泰晤士</w:t>
      </w:r>
      <w:r>
        <w:rPr>
          <w:rFonts w:ascii="微软雅黑" w:hAnsi="微软雅黑" w:cs="微软雅黑" w:hint="eastAsia"/>
          <w:b/>
          <w:bCs/>
          <w:color w:val="000000" w:themeColor="text1"/>
        </w:rPr>
        <w:t>2023</w:t>
      </w:r>
      <w:r>
        <w:rPr>
          <w:rFonts w:ascii="微软雅黑" w:hAnsi="微软雅黑" w:cs="微软雅黑" w:hint="eastAsia"/>
          <w:b/>
          <w:bCs/>
          <w:color w:val="000000" w:themeColor="text1"/>
        </w:rPr>
        <w:t>年世界大学排名第</w:t>
      </w:r>
      <w:r>
        <w:rPr>
          <w:rFonts w:ascii="微软雅黑" w:hAnsi="微软雅黑" w:cs="微软雅黑" w:hint="eastAsia"/>
          <w:b/>
          <w:bCs/>
          <w:color w:val="000000" w:themeColor="text1"/>
        </w:rPr>
        <w:t>31</w:t>
      </w:r>
      <w:r>
        <w:rPr>
          <w:rFonts w:ascii="微软雅黑" w:hAnsi="微软雅黑" w:cs="微软雅黑" w:hint="eastAsia"/>
          <w:b/>
          <w:bCs/>
          <w:color w:val="000000" w:themeColor="text1"/>
        </w:rPr>
        <w:t>位。</w:t>
      </w:r>
    </w:p>
    <w:p w:rsidR="006B7EAB" w:rsidRDefault="00E164FA">
      <w:pPr>
        <w:spacing w:line="400" w:lineRule="exact"/>
        <w:ind w:firstLineChars="200" w:firstLine="420"/>
        <w:rPr>
          <w:rFonts w:ascii="微软雅黑" w:hAnsi="微软雅黑" w:cs="微软雅黑"/>
          <w:b/>
          <w:bCs/>
          <w:color w:val="000000" w:themeColor="text1"/>
        </w:rPr>
      </w:pPr>
      <w:r>
        <w:rPr>
          <w:rFonts w:ascii="微软雅黑" w:hAnsi="微软雅黑" w:cs="微软雅黑" w:hint="eastAsia"/>
          <w:bCs/>
          <w:color w:val="000000" w:themeColor="text1"/>
        </w:rPr>
        <w:t>香港大学专业进修学院</w:t>
      </w:r>
      <w:r>
        <w:rPr>
          <w:rFonts w:ascii="微软雅黑" w:hAnsi="微软雅黑" w:cs="微软雅黑"/>
          <w:bCs/>
          <w:color w:val="000000" w:themeColor="text1"/>
        </w:rPr>
        <w:t xml:space="preserve"> (HK</w:t>
      </w:r>
      <w:r>
        <w:rPr>
          <w:rFonts w:ascii="微软雅黑" w:hAnsi="微软雅黑" w:cs="微软雅黑"/>
          <w:bCs/>
          <w:color w:val="000000" w:themeColor="text1"/>
        </w:rPr>
        <w:t xml:space="preserve">U SPACE) </w:t>
      </w:r>
      <w:r>
        <w:rPr>
          <w:rFonts w:ascii="微软雅黑" w:hAnsi="微软雅黑" w:cs="微软雅黑"/>
          <w:bCs/>
          <w:color w:val="000000" w:themeColor="text1"/>
        </w:rPr>
        <w:t>直属于香港大学，自</w:t>
      </w:r>
      <w:r>
        <w:rPr>
          <w:rFonts w:ascii="微软雅黑" w:hAnsi="微软雅黑" w:cs="微软雅黑"/>
          <w:bCs/>
          <w:color w:val="000000" w:themeColor="text1"/>
        </w:rPr>
        <w:t xml:space="preserve">1957 </w:t>
      </w:r>
      <w:r>
        <w:rPr>
          <w:rFonts w:ascii="微软雅黑" w:hAnsi="微软雅黑" w:cs="微软雅黑"/>
          <w:bCs/>
          <w:color w:val="000000" w:themeColor="text1"/>
        </w:rPr>
        <w:t>年</w:t>
      </w:r>
      <w:r>
        <w:rPr>
          <w:rFonts w:ascii="微软雅黑" w:hAnsi="微软雅黑" w:cs="微软雅黑"/>
          <w:bCs/>
          <w:color w:val="000000" w:themeColor="text1"/>
        </w:rPr>
        <w:t xml:space="preserve">5 </w:t>
      </w:r>
      <w:r>
        <w:rPr>
          <w:rFonts w:ascii="微软雅黑" w:hAnsi="微软雅黑" w:cs="微软雅黑"/>
          <w:bCs/>
          <w:color w:val="000000" w:themeColor="text1"/>
        </w:rPr>
        <w:t>月正式创立，历经六十余年</w:t>
      </w:r>
      <w:r>
        <w:rPr>
          <w:rFonts w:ascii="微软雅黑" w:hAnsi="微软雅黑" w:cs="微软雅黑" w:hint="eastAsia"/>
          <w:bCs/>
          <w:color w:val="000000" w:themeColor="text1"/>
        </w:rPr>
        <w:t>发展，成为与纽约大学、伦敦大学齐名的全球三大专业人才培养机构之一。学院提供涵盖</w:t>
      </w:r>
      <w:r>
        <w:rPr>
          <w:rFonts w:ascii="微软雅黑" w:hAnsi="微软雅黑" w:cs="微软雅黑"/>
          <w:bCs/>
          <w:color w:val="000000" w:themeColor="text1"/>
        </w:rPr>
        <w:t>23</w:t>
      </w:r>
      <w:r>
        <w:rPr>
          <w:rFonts w:ascii="微软雅黑" w:hAnsi="微软雅黑" w:cs="微软雅黑" w:hint="eastAsia"/>
          <w:bCs/>
          <w:color w:val="000000" w:themeColor="text1"/>
        </w:rPr>
        <w:t>种不同学科、不同程度的兼读制课程及全日制海外学位课程，分别由下属的金融商业学院、人文及法律学院与生命科学及科技学院主理</w:t>
      </w:r>
      <w:r>
        <w:rPr>
          <w:rFonts w:ascii="微软雅黑" w:hAnsi="微软雅黑" w:cs="微软雅黑"/>
          <w:bCs/>
          <w:color w:val="000000" w:themeColor="text1"/>
        </w:rPr>
        <w:t>。</w:t>
      </w:r>
      <w:r>
        <w:rPr>
          <w:rFonts w:ascii="微软雅黑" w:hAnsi="微软雅黑" w:cs="微软雅黑" w:hint="eastAsia"/>
          <w:bCs/>
          <w:color w:val="000000" w:themeColor="text1"/>
        </w:rPr>
        <w:t>香港大学</w:t>
      </w:r>
      <w:r>
        <w:rPr>
          <w:rFonts w:ascii="微软雅黑" w:hAnsi="微软雅黑" w:cs="微软雅黑"/>
          <w:bCs/>
          <w:color w:val="000000" w:themeColor="text1"/>
        </w:rPr>
        <w:t>SPACE</w:t>
      </w:r>
      <w:r>
        <w:rPr>
          <w:rFonts w:ascii="微软雅黑" w:hAnsi="微软雅黑" w:cs="微软雅黑" w:hint="eastAsia"/>
          <w:bCs/>
          <w:color w:val="000000" w:themeColor="text1"/>
        </w:rPr>
        <w:t>学院致力为完成香港大学致力为社会开拓终身学习机会的使命，成为一所领导国际的教育机构，为香港以至亚太地区提供专业而优质的持续教育。</w:t>
      </w:r>
    </w:p>
    <w:p w:rsidR="006B7EAB" w:rsidRDefault="006B7EAB">
      <w:pPr>
        <w:spacing w:line="400" w:lineRule="exact"/>
        <w:rPr>
          <w:rFonts w:ascii="微软雅黑" w:hAnsi="微软雅黑" w:cs="微软雅黑"/>
          <w:b/>
          <w:bCs/>
          <w:color w:val="C00000"/>
          <w:sz w:val="24"/>
          <w:szCs w:val="24"/>
          <w:u w:val="single"/>
        </w:rPr>
      </w:pPr>
    </w:p>
    <w:p w:rsidR="006B7EAB" w:rsidRDefault="006B7EAB">
      <w:pPr>
        <w:spacing w:line="400" w:lineRule="exact"/>
        <w:rPr>
          <w:rFonts w:ascii="微软雅黑" w:hAnsi="微软雅黑" w:cs="微软雅黑"/>
          <w:b/>
          <w:bCs/>
          <w:color w:val="C00000"/>
          <w:sz w:val="24"/>
          <w:szCs w:val="24"/>
          <w:u w:val="single"/>
        </w:rPr>
      </w:pPr>
    </w:p>
    <w:p w:rsidR="006B7EAB" w:rsidRDefault="00E164FA">
      <w:pPr>
        <w:spacing w:line="400" w:lineRule="exact"/>
        <w:rPr>
          <w:rFonts w:ascii="微软雅黑" w:hAnsi="微软雅黑" w:cs="微软雅黑"/>
          <w:b/>
          <w:bCs/>
          <w:color w:val="7030A0"/>
          <w:sz w:val="24"/>
          <w:szCs w:val="24"/>
          <w:u w:val="single"/>
        </w:rPr>
      </w:pP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>二、项目概况</w:t>
      </w: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 xml:space="preserve">                                   </w:t>
      </w: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 xml:space="preserve">                                   </w:t>
      </w:r>
    </w:p>
    <w:p w:rsidR="006B7EAB" w:rsidRDefault="00E164FA">
      <w:pPr>
        <w:numPr>
          <w:ilvl w:val="0"/>
          <w:numId w:val="1"/>
        </w:numPr>
        <w:spacing w:line="400" w:lineRule="exact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</w:rPr>
        <w:t>招生对象：</w:t>
      </w:r>
      <w:r>
        <w:rPr>
          <w:rFonts w:ascii="微软雅黑" w:hAnsi="微软雅黑" w:cs="微软雅黑" w:hint="eastAsia"/>
          <w:bCs/>
          <w:color w:val="000000" w:themeColor="text1"/>
          <w:szCs w:val="21"/>
        </w:rPr>
        <w:t>在读</w:t>
      </w:r>
      <w:r>
        <w:rPr>
          <w:rFonts w:ascii="微软雅黑" w:hAnsi="微软雅黑" w:cs="微软雅黑" w:hint="eastAsia"/>
          <w:color w:val="000000" w:themeColor="text1"/>
          <w:szCs w:val="21"/>
        </w:rPr>
        <w:t>大学生（本科，硕士）</w:t>
      </w:r>
    </w:p>
    <w:p w:rsidR="006B7EAB" w:rsidRDefault="00E164FA">
      <w:pPr>
        <w:numPr>
          <w:ilvl w:val="0"/>
          <w:numId w:val="1"/>
        </w:numPr>
        <w:spacing w:line="400" w:lineRule="exact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</w:rPr>
        <w:t>授课语言：</w:t>
      </w:r>
      <w:r>
        <w:rPr>
          <w:rFonts w:ascii="微软雅黑" w:hAnsi="微软雅黑" w:cs="微软雅黑" w:hint="eastAsia"/>
          <w:color w:val="000000" w:themeColor="text1"/>
          <w:szCs w:val="21"/>
        </w:rPr>
        <w:t>英文（可辅以中文）</w:t>
      </w:r>
    </w:p>
    <w:p w:rsidR="006B7EAB" w:rsidRDefault="00E164FA">
      <w:pPr>
        <w:widowControl/>
        <w:numPr>
          <w:ilvl w:val="0"/>
          <w:numId w:val="1"/>
        </w:numPr>
        <w:spacing w:line="400" w:lineRule="exact"/>
        <w:jc w:val="left"/>
        <w:rPr>
          <w:rFonts w:ascii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kern w:val="0"/>
          <w:szCs w:val="21"/>
        </w:rPr>
        <w:t>课程收获：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香港大学官方邀请函、</w:t>
      </w:r>
      <w:r>
        <w:rPr>
          <w:rFonts w:ascii="微软雅黑" w:hAnsi="微软雅黑" w:cs="微软雅黑"/>
          <w:color w:val="000000" w:themeColor="text1"/>
          <w:kern w:val="0"/>
          <w:szCs w:val="21"/>
        </w:rPr>
        <w:t>官方证书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、</w:t>
      </w:r>
      <w:r>
        <w:rPr>
          <w:rFonts w:ascii="微软雅黑" w:hAnsi="微软雅黑" w:cs="微软雅黑"/>
          <w:color w:val="000000" w:themeColor="text1"/>
          <w:kern w:val="0"/>
          <w:szCs w:val="21"/>
        </w:rPr>
        <w:t>优秀学员推荐信</w:t>
      </w:r>
    </w:p>
    <w:p w:rsidR="006B7EAB" w:rsidRDefault="00E164FA">
      <w:pPr>
        <w:widowControl/>
        <w:numPr>
          <w:ilvl w:val="0"/>
          <w:numId w:val="1"/>
        </w:numPr>
        <w:spacing w:line="400" w:lineRule="exact"/>
        <w:jc w:val="left"/>
        <w:rPr>
          <w:rFonts w:ascii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hAnsi="微软雅黑" w:cs="微软雅黑" w:hint="eastAsia"/>
          <w:b/>
          <w:color w:val="000000" w:themeColor="text1"/>
          <w:kern w:val="0"/>
          <w:szCs w:val="21"/>
        </w:rPr>
        <w:t>录取人数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：每班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40</w:t>
      </w:r>
      <w:r>
        <w:rPr>
          <w:rFonts w:ascii="微软雅黑" w:hAnsi="微软雅黑" w:cs="微软雅黑"/>
          <w:color w:val="000000" w:themeColor="text1"/>
          <w:kern w:val="0"/>
          <w:szCs w:val="21"/>
        </w:rPr>
        <w:t>-50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人左右</w:t>
      </w:r>
    </w:p>
    <w:p w:rsidR="006B7EAB" w:rsidRDefault="00E164FA">
      <w:pPr>
        <w:widowControl/>
        <w:numPr>
          <w:ilvl w:val="0"/>
          <w:numId w:val="1"/>
        </w:numPr>
        <w:spacing w:line="400" w:lineRule="exact"/>
        <w:jc w:val="left"/>
        <w:rPr>
          <w:rFonts w:ascii="微软雅黑" w:hAnsi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cs="微软雅黑" w:hint="eastAsia"/>
          <w:b/>
          <w:color w:val="000000" w:themeColor="text1"/>
          <w:kern w:val="0"/>
          <w:szCs w:val="21"/>
        </w:rPr>
        <w:t>项目设置：</w:t>
      </w:r>
    </w:p>
    <w:p w:rsidR="006B7EAB" w:rsidRDefault="00E164FA">
      <w:pPr>
        <w:pStyle w:val="af"/>
        <w:widowControl/>
        <w:numPr>
          <w:ilvl w:val="0"/>
          <w:numId w:val="2"/>
        </w:numPr>
        <w:spacing w:line="400" w:lineRule="exact"/>
        <w:ind w:firstLineChars="0"/>
        <w:jc w:val="left"/>
        <w:rPr>
          <w:rFonts w:ascii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hAnsi="微软雅黑" w:cs="微软雅黑" w:hint="eastAsia"/>
          <w:b/>
          <w:color w:val="000000" w:themeColor="text1"/>
          <w:kern w:val="0"/>
          <w:szCs w:val="21"/>
        </w:rPr>
        <w:t>专业课程学习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：项目包含商科、大众传播、人工智能等多个主题方向，每个课题由该专业领域的在职资深教授或高级讲师授课。</w:t>
      </w:r>
    </w:p>
    <w:p w:rsidR="006B7EAB" w:rsidRDefault="00E164FA">
      <w:pPr>
        <w:pStyle w:val="af"/>
        <w:widowControl/>
        <w:numPr>
          <w:ilvl w:val="0"/>
          <w:numId w:val="2"/>
        </w:numPr>
        <w:spacing w:line="400" w:lineRule="exact"/>
        <w:ind w:firstLineChars="0"/>
        <w:jc w:val="left"/>
        <w:rPr>
          <w:rFonts w:ascii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hAnsi="微软雅黑" w:cs="微软雅黑" w:hint="eastAsia"/>
          <w:b/>
          <w:color w:val="000000" w:themeColor="text1"/>
          <w:kern w:val="0"/>
          <w:szCs w:val="21"/>
        </w:rPr>
        <w:t>香港名校探索：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香港的教育质量在世界范围内享有盛名，项目带领学员前往知名香港高校，感受香港的大学历史与发展、体会香港高等教育环境与氛围。</w:t>
      </w:r>
    </w:p>
    <w:p w:rsidR="006B7EAB" w:rsidRDefault="00E164FA">
      <w:pPr>
        <w:pStyle w:val="af"/>
        <w:widowControl/>
        <w:numPr>
          <w:ilvl w:val="0"/>
          <w:numId w:val="2"/>
        </w:numPr>
        <w:spacing w:line="400" w:lineRule="exact"/>
        <w:ind w:firstLineChars="0"/>
        <w:jc w:val="left"/>
        <w:rPr>
          <w:rFonts w:ascii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hAnsi="微软雅黑" w:cs="微软雅黑" w:hint="eastAsia"/>
          <w:b/>
          <w:color w:val="000000" w:themeColor="text1"/>
          <w:kern w:val="0"/>
          <w:szCs w:val="21"/>
        </w:rPr>
        <w:t>香港名企参访：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香港是中西方文化交融之地，根据项目课题方向，前往知名企业或机构，探索“产、学、研”融合路径、了解就业与人才需求、开拓行业视野，收获未来发展规划思考。</w:t>
      </w:r>
    </w:p>
    <w:p w:rsidR="006B7EAB" w:rsidRDefault="00E164FA">
      <w:pPr>
        <w:pStyle w:val="af"/>
        <w:widowControl/>
        <w:numPr>
          <w:ilvl w:val="0"/>
          <w:numId w:val="2"/>
        </w:numPr>
        <w:spacing w:after="240" w:line="400" w:lineRule="exact"/>
        <w:ind w:leftChars="199" w:left="418" w:firstLineChars="0" w:firstLine="0"/>
        <w:jc w:val="left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color w:val="000000" w:themeColor="text1"/>
          <w:kern w:val="0"/>
          <w:szCs w:val="21"/>
        </w:rPr>
        <w:t>小组结业汇报：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每个课题均会安排和主题相关的项目研究和结业任务。学生需在学习专业课程的同时以小组为单位，收集资料并头脑风暴完成本组课题内容；结业比赛当天，学员将以小组为单位，通过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PPT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和全英文演讲向评委进行成果及方案展示并进行答辩。授课教授将担任结业评委，进行提问、点评并选拔优胜小组。</w:t>
      </w:r>
    </w:p>
    <w:p w:rsidR="006B7EAB" w:rsidRDefault="006B7EAB">
      <w:pPr>
        <w:widowControl/>
        <w:tabs>
          <w:tab w:val="left" w:pos="420"/>
        </w:tabs>
        <w:spacing w:after="240" w:line="400" w:lineRule="exact"/>
        <w:ind w:left="418"/>
        <w:jc w:val="left"/>
        <w:rPr>
          <w:rFonts w:ascii="微软雅黑" w:hAnsi="微软雅黑" w:cs="微软雅黑"/>
          <w:color w:val="016A61"/>
          <w:sz w:val="24"/>
          <w:szCs w:val="24"/>
        </w:rPr>
      </w:pPr>
      <w:r w:rsidRPr="006B7EAB">
        <w:pict>
          <v:shape id="_x0000_s1028" style="position:absolute;left:0;text-align:left;margin-left:499.95pt;margin-top:105.9pt;width:.05pt;height:.05pt;z-index:251665408" coordsize="21600,21600" o:spt="100" o:gfxdata="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" adj="0,,0" path="">
            <v:stroke joinstyle="round"/>
            <v:imagedata r:id="rId11" o:title=""/>
            <v:formulas/>
            <v:path o:connecttype="segments"/>
          </v:shape>
        </w:pict>
      </w:r>
    </w:p>
    <w:p w:rsidR="006B7EAB" w:rsidRDefault="006B7EAB">
      <w:pPr>
        <w:widowControl/>
        <w:tabs>
          <w:tab w:val="left" w:pos="420"/>
        </w:tabs>
        <w:spacing w:after="240" w:line="400" w:lineRule="exact"/>
        <w:jc w:val="left"/>
        <w:rPr>
          <w:rFonts w:ascii="微软雅黑" w:hAnsi="微软雅黑" w:cs="微软雅黑"/>
          <w:color w:val="016A61"/>
          <w:sz w:val="24"/>
          <w:szCs w:val="24"/>
        </w:rPr>
      </w:pPr>
    </w:p>
    <w:p w:rsidR="006B7EAB" w:rsidRDefault="00E164FA">
      <w:pPr>
        <w:spacing w:line="400" w:lineRule="exact"/>
        <w:rPr>
          <w:rFonts w:ascii="微软雅黑" w:hAnsi="微软雅黑" w:cs="微软雅黑"/>
          <w:b/>
          <w:bCs/>
          <w:color w:val="7030A0"/>
          <w:sz w:val="24"/>
          <w:szCs w:val="24"/>
          <w:u w:val="single"/>
        </w:rPr>
      </w:pP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lastRenderedPageBreak/>
        <w:t>三、项目主题</w:t>
      </w: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 xml:space="preserve">                                                                        </w:t>
      </w:r>
    </w:p>
    <w:tbl>
      <w:tblPr>
        <w:tblStyle w:val="1"/>
        <w:tblpPr w:leftFromText="180" w:rightFromText="180" w:vertAnchor="text" w:horzAnchor="margin" w:tblpY="24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9"/>
        <w:gridCol w:w="2366"/>
        <w:gridCol w:w="1395"/>
        <w:gridCol w:w="1679"/>
        <w:gridCol w:w="1354"/>
      </w:tblGrid>
      <w:tr w:rsidR="006B7EAB"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Cs w:val="21"/>
                <w:u w:val="single"/>
              </w:rPr>
            </w:pPr>
            <w:r>
              <w:rPr>
                <w:rFonts w:ascii="微软雅黑" w:hAnsi="微软雅黑" w:cs="微软雅黑" w:hint="eastAsia"/>
                <w:b/>
                <w:color w:val="000000" w:themeColor="text1"/>
                <w:kern w:val="0"/>
                <w:szCs w:val="21"/>
              </w:rPr>
              <w:t>项目</w:t>
            </w:r>
            <w:r>
              <w:rPr>
                <w:rFonts w:ascii="微软雅黑" w:hAnsi="微软雅黑" w:cs="微软雅黑" w:hint="eastAsia"/>
                <w:b/>
                <w:color w:val="000000" w:themeColor="text1"/>
                <w:kern w:val="0"/>
                <w:szCs w:val="21"/>
                <w:lang/>
              </w:rPr>
              <w:t>主题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/>
                <w:color w:val="000000" w:themeColor="text1"/>
                <w:kern w:val="0"/>
                <w:szCs w:val="21"/>
              </w:rPr>
              <w:t>项目时间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/>
                <w:color w:val="000000" w:themeColor="text1"/>
                <w:kern w:val="0"/>
                <w:szCs w:val="21"/>
              </w:rPr>
              <w:t>天数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/>
                <w:color w:val="000000" w:themeColor="text1"/>
                <w:kern w:val="0"/>
                <w:szCs w:val="21"/>
              </w:rPr>
              <w:t>项目费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/>
                <w:color w:val="000000" w:themeColor="text1"/>
                <w:kern w:val="0"/>
                <w:szCs w:val="21"/>
              </w:rPr>
              <w:t>详情</w:t>
            </w:r>
          </w:p>
        </w:tc>
      </w:tr>
      <w:tr w:rsidR="006B7EAB">
        <w:trPr>
          <w:trHeight w:val="90"/>
        </w:trPr>
        <w:tc>
          <w:tcPr>
            <w:tcW w:w="2977" w:type="dxa"/>
            <w:tcBorders>
              <w:top w:val="single" w:sz="4" w:space="0" w:color="auto"/>
            </w:tcBorders>
          </w:tcPr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教育与心理学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金融与会计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人工智能与科技创新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商业与管理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金融与投资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商业分析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大众传播与品牌营销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艺术与文化产业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金融与经济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土木与建筑规划</w:t>
            </w:r>
          </w:p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社会学与公共管理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6B7EAB" w:rsidRDefault="00E164FA">
            <w:pPr>
              <w:spacing w:line="400" w:lineRule="exact"/>
              <w:ind w:firstLineChars="100" w:firstLine="210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13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14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20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14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20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14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20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21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21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21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28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10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10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11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:rsidR="006B7EAB" w:rsidRDefault="006B7EAB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hyperlink w:anchor="_附件一：教育与心理学" w:history="1"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附件</w:t>
              </w:r>
              <w:r w:rsidR="00E164FA">
                <w:rPr>
                  <w:rStyle w:val="ac"/>
                  <w:rFonts w:ascii="微软雅黑" w:hAnsi="微软雅黑" w:cs="微软雅黑"/>
                  <w:bCs/>
                  <w:color w:val="000000" w:themeColor="text1"/>
                  <w:kern w:val="0"/>
                  <w:szCs w:val="21"/>
                </w:rPr>
                <w:t>1</w:t>
              </w:r>
            </w:hyperlink>
          </w:p>
          <w:p w:rsidR="006B7EAB" w:rsidRDefault="006B7EAB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hyperlink w:anchor="_附件二：金融与会计" w:history="1"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附件</w:t>
              </w:r>
              <w:r w:rsidR="00E164FA">
                <w:rPr>
                  <w:rStyle w:val="ac"/>
                  <w:rFonts w:ascii="微软雅黑" w:hAnsi="微软雅黑" w:cs="微软雅黑"/>
                  <w:bCs/>
                  <w:color w:val="000000" w:themeColor="text1"/>
                  <w:kern w:val="0"/>
                  <w:szCs w:val="21"/>
                </w:rPr>
                <w:t>2</w:t>
              </w:r>
            </w:hyperlink>
          </w:p>
          <w:p w:rsidR="006B7EAB" w:rsidRDefault="006B7EAB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hyperlink w:anchor="_附件三：人工智能与科技创新" w:history="1"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附件</w:t>
              </w:r>
              <w:r w:rsidR="00E164FA">
                <w:rPr>
                  <w:rStyle w:val="ac"/>
                  <w:rFonts w:ascii="微软雅黑" w:hAnsi="微软雅黑" w:cs="微软雅黑"/>
                  <w:bCs/>
                  <w:color w:val="000000" w:themeColor="text1"/>
                  <w:kern w:val="0"/>
                  <w:szCs w:val="21"/>
                </w:rPr>
                <w:t>3</w:t>
              </w:r>
            </w:hyperlink>
          </w:p>
          <w:p w:rsidR="006B7EAB" w:rsidRDefault="006B7EAB">
            <w:pPr>
              <w:spacing w:line="400" w:lineRule="exact"/>
              <w:jc w:val="center"/>
              <w:rPr>
                <w:rStyle w:val="ac"/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hyperlink w:anchor="_附件四：商业与管理" w:history="1"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附件</w:t>
              </w:r>
              <w:r w:rsidR="00E164FA">
                <w:rPr>
                  <w:rStyle w:val="ac"/>
                  <w:rFonts w:ascii="微软雅黑" w:hAnsi="微软雅黑" w:cs="微软雅黑"/>
                  <w:bCs/>
                  <w:color w:val="000000" w:themeColor="text1"/>
                  <w:kern w:val="0"/>
                  <w:szCs w:val="21"/>
                </w:rPr>
                <w:t>4</w:t>
              </w:r>
            </w:hyperlink>
          </w:p>
          <w:p w:rsidR="006B7EAB" w:rsidRDefault="006B7EAB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hyperlink w:anchor="_附件五：金融与投资" w:history="1"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附件</w:t>
              </w:r>
              <w:r w:rsidR="00E164FA">
                <w:rPr>
                  <w:rStyle w:val="ac"/>
                  <w:rFonts w:ascii="微软雅黑" w:hAnsi="微软雅黑" w:cs="微软雅黑"/>
                  <w:bCs/>
                  <w:color w:val="000000" w:themeColor="text1"/>
                  <w:kern w:val="0"/>
                  <w:szCs w:val="21"/>
                </w:rPr>
                <w:t>5</w:t>
              </w:r>
            </w:hyperlink>
          </w:p>
          <w:p w:rsidR="006B7EAB" w:rsidRDefault="006B7EAB">
            <w:pPr>
              <w:spacing w:line="400" w:lineRule="exact"/>
              <w:jc w:val="center"/>
              <w:rPr>
                <w:rStyle w:val="ac"/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begin"/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 xml:space="preserve"> HYPERLINK  \l "_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附件六：商业分析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 xml:space="preserve">_1" </w:instrTex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separate"/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附件</w:t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6</w:t>
            </w:r>
          </w:p>
          <w:p w:rsidR="006B7EAB" w:rsidRDefault="006B7EAB">
            <w:pPr>
              <w:spacing w:line="400" w:lineRule="exact"/>
              <w:jc w:val="center"/>
              <w:rPr>
                <w:rStyle w:val="ac"/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end"/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begin"/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 xml:space="preserve"> HYPERLINK  \l "_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附件七：大众传播与品牌营销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 xml:space="preserve">" </w:instrTex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separate"/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附件</w:t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</w:p>
          <w:p w:rsidR="006B7EAB" w:rsidRDefault="006B7EAB">
            <w:pPr>
              <w:spacing w:line="400" w:lineRule="exact"/>
              <w:jc w:val="center"/>
              <w:rPr>
                <w:rStyle w:val="ac"/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end"/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begin"/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HYPERLINK  \l "_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附件八：艺术与文化产业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"</w:instrTex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separate"/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附件</w:t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</w:t>
            </w:r>
          </w:p>
          <w:p w:rsidR="006B7EAB" w:rsidRDefault="006B7EAB">
            <w:pPr>
              <w:spacing w:line="400" w:lineRule="exact"/>
              <w:jc w:val="center"/>
              <w:rPr>
                <w:rStyle w:val="ac"/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end"/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begin"/>
            </w:r>
            <w:r w:rsidR="00E164FA"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instrText xml:space="preserve">HYPERLINK 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 xml:space="preserve"> \l "_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附件九：金融与经济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"</w:instrTex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separate"/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附件</w:t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</w:p>
          <w:p w:rsidR="006B7EAB" w:rsidRDefault="006B7EAB">
            <w:pPr>
              <w:spacing w:line="400" w:lineRule="exact"/>
              <w:jc w:val="center"/>
              <w:rPr>
                <w:rStyle w:val="ac"/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end"/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begin"/>
            </w:r>
            <w:r w:rsidR="00E164FA"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instrText xml:space="preserve">HYPERLINK 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 xml:space="preserve"> \l "_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附件十：土木与建筑规划</w:instrText>
            </w:r>
            <w:r w:rsidR="00E164FA"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instrText>"</w:instrTex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separate"/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附件</w:t>
            </w:r>
            <w:r w:rsidR="00E164FA">
              <w:rPr>
                <w:rStyle w:val="ac"/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1</w:t>
            </w:r>
            <w:r w:rsidR="00E164FA">
              <w:rPr>
                <w:rStyle w:val="ac"/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0</w:t>
            </w:r>
          </w:p>
          <w:p w:rsidR="006B7EAB" w:rsidRDefault="006B7EAB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 w:val="20"/>
                <w:szCs w:val="21"/>
              </w:rPr>
              <w:fldChar w:fldCharType="end"/>
            </w:r>
            <w:hyperlink w:anchor="_附件十一：社会学与公共管理" w:history="1"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附件</w:t>
              </w:r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1</w:t>
              </w:r>
              <w:r w:rsidR="00E164FA">
                <w:rPr>
                  <w:rStyle w:val="ac"/>
                  <w:rFonts w:ascii="微软雅黑" w:hAnsi="微软雅黑" w:cs="微软雅黑"/>
                  <w:bCs/>
                  <w:color w:val="000000" w:themeColor="text1"/>
                  <w:kern w:val="0"/>
                  <w:szCs w:val="21"/>
                </w:rPr>
                <w:t>1</w:t>
              </w:r>
            </w:hyperlink>
          </w:p>
        </w:tc>
      </w:tr>
      <w:tr w:rsidR="006B7EAB">
        <w:tc>
          <w:tcPr>
            <w:tcW w:w="2977" w:type="dxa"/>
            <w:tcBorders>
              <w:bottom w:val="single" w:sz="4" w:space="0" w:color="auto"/>
            </w:tcBorders>
          </w:tcPr>
          <w:p w:rsidR="006B7EAB" w:rsidRDefault="00E164FA">
            <w:pPr>
              <w:spacing w:line="400" w:lineRule="exact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商业法与竞争法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11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-8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月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17</w:t>
            </w:r>
            <w:r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  <w:t>日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7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天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 xml:space="preserve"> 6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晚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7EAB" w:rsidRDefault="00E164FA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9</w:t>
            </w:r>
            <w:bookmarkStart w:id="0" w:name="_GoBack"/>
            <w:bookmarkEnd w:id="0"/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800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Cs w:val="21"/>
              </w:rPr>
              <w:t>元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6B7EAB" w:rsidRDefault="006B7EAB">
            <w:pPr>
              <w:spacing w:line="400" w:lineRule="exact"/>
              <w:jc w:val="center"/>
              <w:rPr>
                <w:rFonts w:ascii="微软雅黑" w:hAnsi="微软雅黑" w:cs="微软雅黑"/>
                <w:bCs/>
                <w:color w:val="000000" w:themeColor="text1"/>
                <w:kern w:val="0"/>
                <w:szCs w:val="21"/>
              </w:rPr>
            </w:pPr>
            <w:hyperlink w:anchor="_附件十二：商业法与竞争法" w:history="1"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附件</w:t>
              </w:r>
              <w:r w:rsidR="00E164FA">
                <w:rPr>
                  <w:rStyle w:val="ac"/>
                  <w:rFonts w:ascii="微软雅黑" w:hAnsi="微软雅黑" w:cs="微软雅黑" w:hint="eastAsia"/>
                  <w:bCs/>
                  <w:color w:val="000000" w:themeColor="text1"/>
                  <w:kern w:val="0"/>
                  <w:szCs w:val="21"/>
                </w:rPr>
                <w:t>12</w:t>
              </w:r>
            </w:hyperlink>
          </w:p>
        </w:tc>
      </w:tr>
    </w:tbl>
    <w:p w:rsidR="006B7EAB" w:rsidRDefault="006B7EAB">
      <w:pPr>
        <w:spacing w:line="400" w:lineRule="exact"/>
        <w:rPr>
          <w:rFonts w:ascii="微软雅黑" w:hAnsi="微软雅黑" w:cs="微软雅黑"/>
          <w:kern w:val="0"/>
          <w:sz w:val="22"/>
        </w:rPr>
      </w:pPr>
    </w:p>
    <w:p w:rsidR="006B7EAB" w:rsidRDefault="00E164FA">
      <w:pPr>
        <w:spacing w:line="400" w:lineRule="exact"/>
        <w:rPr>
          <w:rFonts w:ascii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说明：</w:t>
      </w:r>
    </w:p>
    <w:p w:rsidR="006B7EAB" w:rsidRDefault="00E164FA">
      <w:pPr>
        <w:spacing w:line="400" w:lineRule="exact"/>
        <w:rPr>
          <w:rFonts w:ascii="微软雅黑" w:hAnsi="微软雅黑" w:cs="微软雅黑"/>
          <w:b/>
          <w:bCs/>
          <w:color w:val="000000" w:themeColor="text1"/>
          <w:szCs w:val="21"/>
          <w:u w:val="single"/>
        </w:rPr>
      </w:pP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 xml:space="preserve">1. </w:t>
      </w:r>
      <w:r>
        <w:rPr>
          <w:rFonts w:ascii="微软雅黑" w:hAnsi="微软雅黑" w:cs="微软雅黑" w:hint="eastAsia"/>
          <w:color w:val="000000" w:themeColor="text1"/>
          <w:kern w:val="0"/>
          <w:szCs w:val="21"/>
        </w:rPr>
        <w:t>以上为项目参考日程安排，实际日程可能有调整，以开课前最终课程安排为准。</w:t>
      </w:r>
    </w:p>
    <w:p w:rsidR="006B7EAB" w:rsidRDefault="00E164FA">
      <w:pPr>
        <w:spacing w:line="400" w:lineRule="exact"/>
        <w:rPr>
          <w:rFonts w:ascii="微软雅黑" w:hAnsi="微软雅黑" w:cs="微软雅黑"/>
          <w:b/>
          <w:bCs/>
          <w:color w:val="000000" w:themeColor="text1"/>
          <w:szCs w:val="21"/>
          <w:u w:val="single"/>
        </w:rPr>
      </w:pPr>
      <w:r>
        <w:rPr>
          <w:rFonts w:ascii="微软雅黑" w:hAnsi="微软雅黑" w:cs="微软雅黑" w:hint="eastAsia"/>
          <w:color w:val="000000" w:themeColor="text1"/>
          <w:szCs w:val="21"/>
        </w:rPr>
        <w:t xml:space="preserve">2. </w:t>
      </w:r>
      <w:r>
        <w:rPr>
          <w:rFonts w:ascii="微软雅黑" w:hAnsi="微软雅黑" w:cs="微软雅黑" w:hint="eastAsia"/>
          <w:color w:val="000000" w:themeColor="text1"/>
          <w:szCs w:val="21"/>
        </w:rPr>
        <w:t>如酒店产生单房差或市场较高的价格浮动项目费可能会有细微调整，详情以签约合同为准。</w:t>
      </w:r>
    </w:p>
    <w:p w:rsidR="006B7EAB" w:rsidRDefault="006B7EAB">
      <w:pPr>
        <w:spacing w:line="400" w:lineRule="exact"/>
        <w:rPr>
          <w:rFonts w:ascii="微软雅黑" w:hAnsi="微软雅黑" w:cs="微软雅黑"/>
          <w:b/>
          <w:bCs/>
          <w:szCs w:val="21"/>
          <w:u w:val="single"/>
        </w:rPr>
      </w:pPr>
    </w:p>
    <w:p w:rsidR="006B7EAB" w:rsidRDefault="00E164FA">
      <w:pPr>
        <w:spacing w:line="400" w:lineRule="exact"/>
        <w:rPr>
          <w:rFonts w:ascii="微软雅黑" w:hAnsi="微软雅黑" w:cs="微软雅黑"/>
          <w:b/>
          <w:bCs/>
          <w:color w:val="016A61"/>
          <w:sz w:val="24"/>
          <w:szCs w:val="24"/>
          <w:u w:val="single"/>
          <w:lang/>
        </w:rPr>
      </w:pP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>四、部分参访企业</w:t>
      </w: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>/</w:t>
      </w: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>机构介绍</w:t>
      </w: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 xml:space="preserve">                                                       </w:t>
      </w:r>
      <w:r>
        <w:rPr>
          <w:rFonts w:ascii="微软雅黑" w:hAnsi="微软雅黑" w:cs="微软雅黑" w:hint="eastAsia"/>
          <w:b/>
          <w:bCs/>
          <w:color w:val="016A61"/>
          <w:sz w:val="24"/>
          <w:szCs w:val="24"/>
          <w:u w:val="single"/>
        </w:rPr>
        <w:t xml:space="preserve">        </w:t>
      </w:r>
    </w:p>
    <w:p w:rsidR="006B7EAB" w:rsidRDefault="00E164FA">
      <w:pPr>
        <w:spacing w:line="400" w:lineRule="exact"/>
        <w:ind w:firstLine="420"/>
        <w:rPr>
          <w:rFonts w:ascii="微软雅黑" w:hAnsi="微软雅黑" w:cs="微软雅黑"/>
          <w:b/>
          <w:bCs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  <w:lang/>
        </w:rPr>
        <w:t>香港展城馆</w:t>
      </w:r>
      <w:r>
        <w:rPr>
          <w:rFonts w:ascii="微软雅黑" w:hAnsi="微软雅黑" w:cs="微软雅黑" w:hint="eastAsia"/>
          <w:color w:val="000000" w:themeColor="text1"/>
          <w:szCs w:val="21"/>
        </w:rPr>
        <w:t>，</w:t>
      </w:r>
      <w:r>
        <w:rPr>
          <w:rFonts w:ascii="微软雅黑" w:hAnsi="微软雅黑" w:cs="微软雅黑" w:hint="eastAsia"/>
          <w:color w:val="000000" w:themeColor="text1"/>
          <w:szCs w:val="21"/>
          <w:lang/>
        </w:rPr>
        <w:t>是香港首个以城市规划和大型基建发展为主题的展览馆，展示了香港主要的规划建议和基建项目，并简介城市未来的发展方向。展馆亦提供互动展览体验，展出香港城市规划在过去、现在和未来的成就。透过展览，你可以了解主要规划项目的规划过程，塑造为可持续发展的“宜居城市”。了解香港各区发展历史及未来城市规划，探寻香港的交通路线及特色文化地点。</w:t>
      </w:r>
      <w:r>
        <w:rPr>
          <w:rFonts w:ascii="微软雅黑" w:hAnsi="微软雅黑" w:cs="微软雅黑" w:hint="eastAsia"/>
          <w:color w:val="000000" w:themeColor="text1"/>
          <w:szCs w:val="21"/>
        </w:rPr>
        <w:t xml:space="preserve">          </w:t>
      </w:r>
    </w:p>
    <w:p w:rsidR="006B7EAB" w:rsidRDefault="00E164FA">
      <w:pPr>
        <w:spacing w:line="400" w:lineRule="exact"/>
        <w:ind w:firstLine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</w:rPr>
        <w:t>香港金融管理局</w:t>
      </w:r>
      <w:r>
        <w:rPr>
          <w:rFonts w:ascii="微软雅黑" w:hAnsi="微软雅黑" w:cs="微软雅黑" w:hint="eastAsia"/>
          <w:color w:val="000000" w:themeColor="text1"/>
          <w:szCs w:val="21"/>
        </w:rPr>
        <w:t>，是香港的中央银行机构，负责香港的金融政策、银行、货币及外汇基金管理，直接向财政司司长负责。这里可以了解到金管局的工作，相关的金融概念，香港货币的设计、防伪特征、制作过程等知识，以及过百年来香港的货币、金融和银行发展史。</w:t>
      </w:r>
    </w:p>
    <w:p w:rsidR="006B7EAB" w:rsidRDefault="00E164FA">
      <w:pPr>
        <w:spacing w:line="400" w:lineRule="exact"/>
        <w:ind w:firstLine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color w:val="000000" w:themeColor="text1"/>
          <w:szCs w:val="21"/>
        </w:rPr>
        <w:t>香港交易所</w:t>
      </w:r>
      <w:r>
        <w:rPr>
          <w:rFonts w:ascii="微软雅黑" w:hAnsi="微软雅黑" w:cs="微软雅黑" w:hint="eastAsia"/>
          <w:b/>
          <w:color w:val="000000" w:themeColor="text1"/>
          <w:szCs w:val="21"/>
        </w:rPr>
        <w:t>HKEX</w:t>
      </w:r>
      <w:r>
        <w:rPr>
          <w:rFonts w:ascii="微软雅黑" w:hAnsi="微软雅黑" w:cs="微软雅黑" w:hint="eastAsia"/>
          <w:color w:val="000000" w:themeColor="text1"/>
          <w:szCs w:val="21"/>
        </w:rPr>
        <w:t>，是全球一大主要交易所集团，也是一家在中国香港上市的控股公司。主要了解香港的交易所及结算所的历史、香港证券及衍生产品市场、香港交易所的产品和服务，以及香港金融市场的发展等。</w:t>
      </w:r>
    </w:p>
    <w:p w:rsidR="006B7EAB" w:rsidRDefault="00E164FA">
      <w:pPr>
        <w:spacing w:line="400" w:lineRule="exact"/>
        <w:ind w:firstLine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</w:rPr>
        <w:t>香港生产力促进局</w:t>
      </w:r>
      <w:r>
        <w:rPr>
          <w:rFonts w:ascii="微软雅黑" w:hAnsi="微软雅黑" w:cs="微软雅黑" w:hint="eastAsia"/>
          <w:color w:val="000000" w:themeColor="text1"/>
          <w:szCs w:val="21"/>
        </w:rPr>
        <w:t>（生产力局），是于</w:t>
      </w:r>
      <w:r>
        <w:rPr>
          <w:rFonts w:ascii="微软雅黑" w:hAnsi="微软雅黑" w:cs="微软雅黑" w:hint="eastAsia"/>
          <w:color w:val="000000" w:themeColor="text1"/>
          <w:szCs w:val="21"/>
        </w:rPr>
        <w:t>1967</w:t>
      </w:r>
      <w:r>
        <w:rPr>
          <w:rFonts w:ascii="微软雅黑" w:hAnsi="微软雅黑" w:cs="微软雅黑" w:hint="eastAsia"/>
          <w:color w:val="000000" w:themeColor="text1"/>
          <w:szCs w:val="21"/>
        </w:rPr>
        <w:t>年成立的法定机构，专业技术和知识涵盖多个不</w:t>
      </w:r>
      <w:r>
        <w:rPr>
          <w:rFonts w:ascii="微软雅黑" w:hAnsi="微软雅黑" w:cs="微软雅黑" w:hint="eastAsia"/>
          <w:color w:val="000000" w:themeColor="text1"/>
          <w:szCs w:val="21"/>
        </w:rPr>
        <w:t>同范畴，致力透过先进技术和创新服务，协助香港企业提升卓越生产力。生产力局是工业</w:t>
      </w:r>
      <w:r>
        <w:rPr>
          <w:rFonts w:ascii="微软雅黑" w:hAnsi="微软雅黑" w:cs="微软雅黑" w:hint="eastAsia"/>
          <w:color w:val="000000" w:themeColor="text1"/>
          <w:szCs w:val="21"/>
        </w:rPr>
        <w:t>4.0</w:t>
      </w:r>
      <w:r>
        <w:rPr>
          <w:rFonts w:ascii="微软雅黑" w:hAnsi="微软雅黑" w:cs="微软雅黑" w:hint="eastAsia"/>
          <w:color w:val="000000" w:themeColor="text1"/>
          <w:szCs w:val="21"/>
        </w:rPr>
        <w:t>和企业</w:t>
      </w:r>
      <w:r>
        <w:rPr>
          <w:rFonts w:ascii="微软雅黑" w:hAnsi="微软雅黑" w:cs="微软雅黑" w:hint="eastAsia"/>
          <w:color w:val="000000" w:themeColor="text1"/>
          <w:szCs w:val="21"/>
        </w:rPr>
        <w:t>4.0</w:t>
      </w:r>
      <w:r>
        <w:rPr>
          <w:rFonts w:ascii="微软雅黑" w:hAnsi="微软雅黑" w:cs="微软雅黑" w:hint="eastAsia"/>
          <w:color w:val="000000" w:themeColor="text1"/>
          <w:szCs w:val="21"/>
        </w:rPr>
        <w:t>的专家，领导香港再工业化的发展，专注科技研发、物联网、大数据分析、人工智能和机械人技术、智能制造等先进领域，加强工商界的业务绩效、降低运营成本、提高生产力和增强竞争力。</w:t>
      </w:r>
    </w:p>
    <w:p w:rsidR="006B7EAB" w:rsidRDefault="00E164FA">
      <w:pPr>
        <w:spacing w:line="400" w:lineRule="exact"/>
        <w:ind w:firstLine="420"/>
        <w:rPr>
          <w:rFonts w:ascii="微软雅黑" w:hAnsi="微软雅黑" w:cs="微软雅黑"/>
          <w:b/>
          <w:bCs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</w:rPr>
        <w:t>香港科技园公司</w:t>
      </w:r>
      <w:r>
        <w:rPr>
          <w:rFonts w:ascii="微软雅黑" w:hAnsi="微软雅黑" w:cs="微软雅黑" w:hint="eastAsia"/>
          <w:color w:val="000000" w:themeColor="text1"/>
          <w:szCs w:val="21"/>
        </w:rPr>
        <w:t>，于</w:t>
      </w:r>
      <w:r>
        <w:rPr>
          <w:rFonts w:ascii="微软雅黑" w:hAnsi="微软雅黑" w:cs="微软雅黑" w:hint="eastAsia"/>
          <w:color w:val="000000" w:themeColor="text1"/>
          <w:szCs w:val="21"/>
        </w:rPr>
        <w:t>2001</w:t>
      </w:r>
      <w:r>
        <w:rPr>
          <w:rFonts w:ascii="微软雅黑" w:hAnsi="微软雅黑" w:cs="微软雅黑" w:hint="eastAsia"/>
          <w:color w:val="000000" w:themeColor="text1"/>
          <w:szCs w:val="21"/>
        </w:rPr>
        <w:t>年成立，负责规划及管理科学园、创新中心和工业邨，致力营造富有活</w:t>
      </w:r>
      <w:r>
        <w:rPr>
          <w:rFonts w:ascii="微软雅黑" w:hAnsi="微软雅黑" w:cs="微软雅黑" w:hint="eastAsia"/>
          <w:color w:val="000000" w:themeColor="text1"/>
          <w:szCs w:val="21"/>
        </w:rPr>
        <w:lastRenderedPageBreak/>
        <w:t>力的创新及科技生态圈，培育科技人才和促进交流协作，带动创新发展，为香港以至整个区域创造社会和经济效益。</w:t>
      </w:r>
    </w:p>
    <w:p w:rsidR="006B7EAB" w:rsidRDefault="00E164FA">
      <w:pPr>
        <w:spacing w:line="400" w:lineRule="exact"/>
        <w:ind w:firstLine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</w:rPr>
        <w:t>数码港</w:t>
      </w:r>
      <w:r>
        <w:rPr>
          <w:rFonts w:ascii="微软雅黑" w:hAnsi="微软雅黑" w:cs="微软雅黑" w:hint="eastAsia"/>
          <w:color w:val="000000" w:themeColor="text1"/>
          <w:szCs w:val="21"/>
        </w:rPr>
        <w:t>，为一个创新数码社群，汇聚超过</w:t>
      </w:r>
      <w:r>
        <w:rPr>
          <w:rFonts w:ascii="微软雅黑" w:hAnsi="微软雅黑" w:cs="微软雅黑" w:hint="eastAsia"/>
          <w:color w:val="000000" w:themeColor="text1"/>
          <w:szCs w:val="21"/>
        </w:rPr>
        <w:t>1,500</w:t>
      </w:r>
      <w:r>
        <w:rPr>
          <w:rFonts w:ascii="微软雅黑" w:hAnsi="微软雅黑" w:cs="微软雅黑" w:hint="eastAsia"/>
          <w:color w:val="000000" w:themeColor="text1"/>
          <w:szCs w:val="21"/>
        </w:rPr>
        <w:t>间初创企</w:t>
      </w:r>
      <w:r>
        <w:rPr>
          <w:rFonts w:ascii="微软雅黑" w:hAnsi="微软雅黑" w:cs="微软雅黑" w:hint="eastAsia"/>
          <w:color w:val="000000" w:themeColor="text1"/>
          <w:szCs w:val="21"/>
        </w:rPr>
        <w:t>业和科技公司，由香港特别行政区政府全资拥有的香港数码港管理有限公司管理。</w:t>
      </w:r>
      <w:r>
        <w:rPr>
          <w:rFonts w:ascii="微软雅黑" w:hAnsi="微软雅黑" w:cs="微软雅黑" w:hint="eastAsia"/>
          <w:color w:val="000000" w:themeColor="text1"/>
          <w:szCs w:val="21"/>
        </w:rPr>
        <w:t xml:space="preserve">. </w:t>
      </w:r>
      <w:r>
        <w:rPr>
          <w:rFonts w:ascii="微软雅黑" w:hAnsi="微软雅黑" w:cs="微软雅黑" w:hint="eastAsia"/>
          <w:color w:val="000000" w:themeColor="text1"/>
          <w:szCs w:val="21"/>
        </w:rPr>
        <w:t>数码港的愿景是成为数码科技枢纽，为香港缔造新的经济动力。</w:t>
      </w:r>
    </w:p>
    <w:p w:rsidR="006B7EAB" w:rsidRDefault="00E164FA">
      <w:pPr>
        <w:spacing w:line="400" w:lineRule="exact"/>
        <w:ind w:firstLine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</w:rPr>
        <w:t>凤凰卫视</w:t>
      </w:r>
      <w:r>
        <w:rPr>
          <w:rFonts w:ascii="微软雅黑" w:hAnsi="微软雅黑" w:cs="微软雅黑" w:hint="eastAsia"/>
          <w:color w:val="000000" w:themeColor="text1"/>
          <w:szCs w:val="21"/>
        </w:rPr>
        <w:t>，从影视传媒角度理解传媒栏目从策划到播出展示的全链条，在电视台工作人员带领下参观电视台办公区、节目录制现场区域、剪辑区等不同影视制作环节。与行业资深人士进行面对面沟通与访谈。</w:t>
      </w:r>
    </w:p>
    <w:p w:rsidR="006B7EAB" w:rsidRDefault="00E164FA">
      <w:pPr>
        <w:spacing w:line="400" w:lineRule="exact"/>
        <w:ind w:firstLine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b/>
          <w:bCs/>
          <w:color w:val="000000" w:themeColor="text1"/>
          <w:szCs w:val="21"/>
        </w:rPr>
        <w:t>香港文化博物馆</w:t>
      </w:r>
      <w:r>
        <w:rPr>
          <w:rFonts w:ascii="微软雅黑" w:hAnsi="微软雅黑" w:cs="微软雅黑" w:hint="eastAsia"/>
          <w:color w:val="000000" w:themeColor="text1"/>
          <w:szCs w:val="21"/>
        </w:rPr>
        <w:t>，内容涵盖历史、艺术和文化等不同范畴。博物馆设有</w:t>
      </w:r>
      <w:r>
        <w:rPr>
          <w:rFonts w:ascii="微软雅黑" w:hAnsi="微软雅黑" w:cs="微软雅黑" w:hint="eastAsia"/>
          <w:color w:val="000000" w:themeColor="text1"/>
          <w:szCs w:val="21"/>
        </w:rPr>
        <w:t>12</w:t>
      </w:r>
      <w:r>
        <w:rPr>
          <w:rFonts w:ascii="微软雅黑" w:hAnsi="微软雅黑" w:cs="微软雅黑" w:hint="eastAsia"/>
          <w:color w:val="000000" w:themeColor="text1"/>
          <w:szCs w:val="21"/>
        </w:rPr>
        <w:t>个展览馆，陈列面积达</w:t>
      </w:r>
      <w:r>
        <w:rPr>
          <w:rFonts w:ascii="微软雅黑" w:hAnsi="微软雅黑" w:cs="微软雅黑" w:hint="eastAsia"/>
          <w:color w:val="000000" w:themeColor="text1"/>
          <w:szCs w:val="21"/>
        </w:rPr>
        <w:t>7,500</w:t>
      </w:r>
      <w:r>
        <w:rPr>
          <w:rFonts w:ascii="微软雅黑" w:hAnsi="微软雅黑" w:cs="微软雅黑" w:hint="eastAsia"/>
          <w:color w:val="000000" w:themeColor="text1"/>
          <w:szCs w:val="21"/>
        </w:rPr>
        <w:t>平方米。</w:t>
      </w:r>
      <w:r>
        <w:rPr>
          <w:rFonts w:ascii="微软雅黑" w:hAnsi="微软雅黑" w:cs="微软雅黑" w:hint="eastAsia"/>
          <w:color w:val="000000" w:themeColor="text1"/>
          <w:szCs w:val="21"/>
        </w:rPr>
        <w:t>5</w:t>
      </w:r>
      <w:r>
        <w:rPr>
          <w:rFonts w:ascii="微软雅黑" w:hAnsi="微软雅黑" w:cs="微软雅黑" w:hint="eastAsia"/>
          <w:color w:val="000000" w:themeColor="text1"/>
          <w:szCs w:val="21"/>
        </w:rPr>
        <w:t>个常设展览馆包括金庸馆、粤剧文物馆、徐展堂中国艺术馆、赵少昂艺术馆及儿童探知馆。专题展览馆在不同时间推出多元化的展览主题，以提高参观者对文化艺术的兴趣。</w:t>
      </w:r>
    </w:p>
    <w:p w:rsidR="006B7EAB" w:rsidRDefault="006B7EAB">
      <w:pPr>
        <w:spacing w:line="360" w:lineRule="exact"/>
        <w:rPr>
          <w:rFonts w:ascii="微软雅黑" w:hAnsi="微软雅黑" w:cs="微软雅黑"/>
        </w:rPr>
      </w:pPr>
    </w:p>
    <w:p w:rsidR="006B7EAB" w:rsidRDefault="00735B75">
      <w:pPr>
        <w:spacing w:line="360" w:lineRule="auto"/>
        <w:rPr>
          <w:rFonts w:ascii="微软雅黑" w:hAnsi="微软雅黑" w:cs="微软雅黑"/>
          <w:b/>
          <w:bCs/>
          <w:color w:val="7030A0"/>
          <w:u w:val="single"/>
        </w:rPr>
      </w:pP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>五</w:t>
      </w:r>
      <w:r w:rsidR="00E164FA"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>、申请时限</w:t>
      </w:r>
      <w:r w:rsidR="00E164FA"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 xml:space="preserve">                     </w:t>
      </w:r>
      <w:r w:rsidR="00E164FA">
        <w:rPr>
          <w:rFonts w:ascii="微软雅黑" w:hAnsi="微软雅黑" w:cs="微软雅黑" w:hint="eastAsia"/>
          <w:b/>
          <w:bCs/>
          <w:color w:val="7030A0"/>
          <w:u w:val="single"/>
        </w:rPr>
        <w:t xml:space="preserve">                                                           </w:t>
      </w:r>
    </w:p>
    <w:p w:rsidR="006B7EAB" w:rsidRDefault="00E164FA">
      <w:pPr>
        <w:spacing w:line="400" w:lineRule="exact"/>
        <w:ind w:leftChars="200" w:left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color w:val="000000" w:themeColor="text1"/>
          <w:szCs w:val="21"/>
        </w:rPr>
        <w:t>202</w:t>
      </w:r>
      <w:r>
        <w:rPr>
          <w:rFonts w:ascii="微软雅黑" w:hAnsi="微软雅黑" w:cs="微软雅黑"/>
          <w:color w:val="000000" w:themeColor="text1"/>
          <w:szCs w:val="21"/>
        </w:rPr>
        <w:t>4</w:t>
      </w:r>
      <w:r>
        <w:rPr>
          <w:rFonts w:ascii="微软雅黑" w:hAnsi="微软雅黑" w:cs="微软雅黑" w:hint="eastAsia"/>
          <w:color w:val="000000" w:themeColor="text1"/>
          <w:szCs w:val="21"/>
        </w:rPr>
        <w:t>年</w:t>
      </w:r>
      <w:r>
        <w:rPr>
          <w:rFonts w:ascii="微软雅黑" w:hAnsi="微软雅黑" w:cs="微软雅黑"/>
          <w:color w:val="000000" w:themeColor="text1"/>
          <w:szCs w:val="21"/>
        </w:rPr>
        <w:t>4</w:t>
      </w:r>
      <w:r>
        <w:rPr>
          <w:rFonts w:ascii="微软雅黑" w:hAnsi="微软雅黑" w:cs="微软雅黑" w:hint="eastAsia"/>
          <w:color w:val="000000" w:themeColor="text1"/>
          <w:szCs w:val="21"/>
        </w:rPr>
        <w:t>月</w:t>
      </w:r>
      <w:r>
        <w:rPr>
          <w:rFonts w:ascii="微软雅黑" w:hAnsi="微软雅黑" w:cs="微软雅黑"/>
          <w:color w:val="000000" w:themeColor="text1"/>
          <w:szCs w:val="21"/>
        </w:rPr>
        <w:t>30</w:t>
      </w:r>
      <w:r>
        <w:rPr>
          <w:rFonts w:ascii="微软雅黑" w:hAnsi="微软雅黑" w:cs="微软雅黑" w:hint="eastAsia"/>
          <w:color w:val="000000" w:themeColor="text1"/>
          <w:szCs w:val="21"/>
        </w:rPr>
        <w:t>日截止报名。</w:t>
      </w:r>
    </w:p>
    <w:p w:rsidR="006B7EAB" w:rsidRDefault="006B7EAB">
      <w:pPr>
        <w:spacing w:line="400" w:lineRule="exact"/>
        <w:rPr>
          <w:rFonts w:ascii="微软雅黑" w:hAnsi="微软雅黑" w:cs="微软雅黑"/>
        </w:rPr>
      </w:pPr>
    </w:p>
    <w:p w:rsidR="006B7EAB" w:rsidRDefault="00735B75">
      <w:pPr>
        <w:spacing w:line="360" w:lineRule="auto"/>
        <w:rPr>
          <w:rFonts w:ascii="微软雅黑" w:hAnsi="微软雅黑" w:cs="微软雅黑"/>
          <w:b/>
          <w:bCs/>
          <w:color w:val="7030A0"/>
          <w:u w:val="single"/>
        </w:rPr>
      </w:pPr>
      <w:r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>六</w:t>
      </w:r>
      <w:r w:rsidR="00E164FA"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>、申请条件</w:t>
      </w:r>
      <w:r w:rsidR="00E164FA">
        <w:rPr>
          <w:rFonts w:ascii="微软雅黑" w:hAnsi="微软雅黑" w:cs="微软雅黑" w:hint="eastAsia"/>
          <w:b/>
          <w:bCs/>
          <w:color w:val="7030A0"/>
          <w:sz w:val="24"/>
          <w:szCs w:val="24"/>
          <w:u w:val="single"/>
        </w:rPr>
        <w:t xml:space="preserve">                     </w:t>
      </w:r>
      <w:r w:rsidR="00E164FA">
        <w:rPr>
          <w:rFonts w:ascii="微软雅黑" w:hAnsi="微软雅黑" w:cs="微软雅黑" w:hint="eastAsia"/>
          <w:b/>
          <w:bCs/>
          <w:color w:val="7030A0"/>
          <w:u w:val="single"/>
        </w:rPr>
        <w:t xml:space="preserve">                                                           </w:t>
      </w:r>
    </w:p>
    <w:p w:rsidR="006B7EAB" w:rsidRDefault="00E164FA">
      <w:pPr>
        <w:spacing w:line="360" w:lineRule="exact"/>
        <w:ind w:leftChars="200" w:left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color w:val="000000" w:themeColor="text1"/>
          <w:szCs w:val="21"/>
        </w:rPr>
        <w:t>1</w:t>
      </w:r>
      <w:r>
        <w:rPr>
          <w:rFonts w:ascii="微软雅黑" w:hAnsi="微软雅黑" w:cs="微软雅黑" w:hint="eastAsia"/>
          <w:color w:val="000000" w:themeColor="text1"/>
          <w:szCs w:val="21"/>
        </w:rPr>
        <w:t>、全日制在读本科生及研究生；</w:t>
      </w:r>
    </w:p>
    <w:p w:rsidR="006B7EAB" w:rsidRDefault="00E164FA">
      <w:pPr>
        <w:spacing w:line="360" w:lineRule="exact"/>
        <w:ind w:leftChars="200" w:left="420"/>
        <w:rPr>
          <w:rFonts w:ascii="微软雅黑" w:hAnsi="微软雅黑" w:cs="微软雅黑"/>
          <w:color w:val="000000" w:themeColor="text1"/>
          <w:szCs w:val="21"/>
        </w:rPr>
      </w:pPr>
      <w:r>
        <w:rPr>
          <w:rFonts w:ascii="微软雅黑" w:hAnsi="微软雅黑" w:cs="微软雅黑" w:hint="eastAsia"/>
          <w:color w:val="000000" w:themeColor="text1"/>
          <w:szCs w:val="21"/>
        </w:rPr>
        <w:t>2</w:t>
      </w:r>
      <w:r>
        <w:rPr>
          <w:rFonts w:ascii="微软雅黑" w:hAnsi="微软雅黑" w:cs="微软雅黑" w:hint="eastAsia"/>
          <w:color w:val="000000" w:themeColor="text1"/>
          <w:szCs w:val="21"/>
        </w:rPr>
        <w:t>、具备英语交流及学习能力</w:t>
      </w:r>
      <w:bookmarkStart w:id="1" w:name="_附件一：金融与投资"/>
      <w:bookmarkEnd w:id="1"/>
      <w:r>
        <w:rPr>
          <w:rFonts w:ascii="微软雅黑" w:hAnsi="微软雅黑" w:cs="微软雅黑" w:hint="eastAsia"/>
          <w:color w:val="000000" w:themeColor="text1"/>
          <w:szCs w:val="21"/>
        </w:rPr>
        <w:t>，有四六级合格成绩即可，如无可提交语言成绩需进行视频线上面试。</w:t>
      </w:r>
    </w:p>
    <w:tbl>
      <w:tblPr>
        <w:tblpPr w:leftFromText="180" w:rightFromText="180" w:vertAnchor="text" w:horzAnchor="margin" w:tblpY="906"/>
        <w:tblOverlap w:val="never"/>
        <w:tblW w:w="9699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2" w:name="_附件二：教育与心理学"/>
            <w:bookmarkStart w:id="3" w:name="_Hlk159942890"/>
            <w:bookmarkEnd w:id="2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532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</w:rPr>
              <w:t>D2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名校探索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前往凤凰卫视；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传媒行业发展及业务；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人才发展要求；</w:t>
            </w:r>
          </w:p>
        </w:tc>
      </w:tr>
      <w:tr w:rsidR="006B7EAB">
        <w:trPr>
          <w:trHeight w:val="1553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</w:rPr>
              <w:t>D3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心理学概论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名校探索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405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沟通与心理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名校探索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香港教育大学参访；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与香港教育大学学生代表交流分享学习心得</w:t>
            </w:r>
          </w:p>
        </w:tc>
      </w:tr>
      <w:tr w:rsidR="006B7EAB">
        <w:trPr>
          <w:trHeight w:val="1411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</w:rPr>
              <w:lastRenderedPageBreak/>
              <w:t>D5</w:t>
            </w:r>
          </w:p>
          <w:p w:rsidR="006B7EAB" w:rsidRDefault="006B7EAB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Cs w:val="21"/>
              </w:rPr>
            </w:pP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sz w:val="20"/>
                <w:szCs w:val="20"/>
              </w:rPr>
              <w:t>教学方法论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前往黑暗中的对话体验馆，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了解弱势群体的心理</w:t>
            </w:r>
          </w:p>
        </w:tc>
      </w:tr>
      <w:tr w:rsidR="006B7EAB">
        <w:trPr>
          <w:trHeight w:val="1544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小组汇报彩排</w:t>
            </w:r>
          </w:p>
        </w:tc>
        <w:tc>
          <w:tcPr>
            <w:tcW w:w="4411" w:type="dxa"/>
            <w:shd w:val="clear" w:color="auto" w:fill="auto"/>
            <w:noWrap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/>
                <w:sz w:val="20"/>
                <w:szCs w:val="20"/>
              </w:rPr>
              <w:t>发展心理学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sz w:val="20"/>
                <w:szCs w:val="20"/>
              </w:rPr>
              <w:t>评委点评及评分。</w:t>
            </w:r>
          </w:p>
        </w:tc>
      </w:tr>
      <w:tr w:rsidR="006B7EAB">
        <w:trPr>
          <w:trHeight w:val="742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pStyle w:val="2"/>
        <w:rPr>
          <w:bCs/>
        </w:rPr>
      </w:pPr>
      <w:bookmarkStart w:id="4" w:name="_附件一：教育与心理学"/>
      <w:bookmarkEnd w:id="4"/>
      <w:r>
        <w:rPr>
          <w:rFonts w:hint="eastAsia"/>
        </w:rPr>
        <w:t>附件一：</w:t>
      </w:r>
      <w:bookmarkEnd w:id="3"/>
      <w:r>
        <w:rPr>
          <w:rFonts w:hint="eastAsia"/>
        </w:rPr>
        <w:t>教育与心理学</w:t>
      </w:r>
    </w:p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E164FA">
      <w:pPr>
        <w:widowControl/>
        <w:jc w:val="left"/>
        <w:rPr>
          <w:rFonts w:ascii="微软雅黑" w:hAnsi="微软雅黑" w:cs="微软雅黑"/>
          <w:b/>
          <w:bCs/>
          <w:sz w:val="24"/>
          <w:szCs w:val="24"/>
        </w:rPr>
      </w:pPr>
      <w:r>
        <w:rPr>
          <w:rFonts w:ascii="微软雅黑" w:hAnsi="微软雅黑" w:cs="微软雅黑"/>
          <w:b/>
          <w:bCs/>
          <w:sz w:val="24"/>
          <w:szCs w:val="24"/>
        </w:rPr>
        <w:br w:type="page"/>
      </w:r>
    </w:p>
    <w:tbl>
      <w:tblPr>
        <w:tblpPr w:leftFromText="180" w:rightFromText="180" w:vertAnchor="text" w:horzAnchor="margin" w:tblpY="967"/>
        <w:tblOverlap w:val="never"/>
        <w:tblW w:w="9699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5" w:name="_附件三：金融与会计"/>
            <w:bookmarkEnd w:id="5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lastRenderedPageBreak/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955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D2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前往友邦集团；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机构发展及业务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企业人才要求等</w:t>
            </w:r>
          </w:p>
        </w:tc>
      </w:tr>
      <w:tr w:rsidR="006B7EAB">
        <w:trPr>
          <w:trHeight w:val="155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D3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金融科技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53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行为金融学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香港科技大学参访；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559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D5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全球资产配置与投资策略分析</w:t>
            </w:r>
          </w:p>
          <w:p w:rsidR="006B7EAB" w:rsidRDefault="006B7EAB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前往香港金融管理局；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了解金融行业相关政策与环境</w:t>
            </w:r>
          </w:p>
        </w:tc>
      </w:tr>
      <w:tr w:rsidR="006B7EAB">
        <w:trPr>
          <w:trHeight w:val="569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小组汇报彩排。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经济、金融与创新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评委点评及评分。</w:t>
            </w:r>
          </w:p>
        </w:tc>
      </w:tr>
      <w:tr w:rsidR="006B7EAB">
        <w:trPr>
          <w:trHeight w:val="62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pStyle w:val="2"/>
        <w:rPr>
          <w:bCs/>
        </w:rPr>
      </w:pPr>
      <w:bookmarkStart w:id="6" w:name="_附件二：金融与会计"/>
      <w:bookmarkEnd w:id="6"/>
      <w:r>
        <w:rPr>
          <w:rFonts w:hint="eastAsia"/>
        </w:rPr>
        <w:t>附件二：金融与会计</w:t>
      </w:r>
    </w:p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E164FA">
      <w:pPr>
        <w:widowControl/>
        <w:jc w:val="left"/>
        <w:rPr>
          <w:rFonts w:ascii="微软雅黑" w:hAnsi="微软雅黑" w:cs="微软雅黑"/>
          <w:kern w:val="0"/>
          <w:sz w:val="18"/>
        </w:rPr>
      </w:pPr>
      <w:r>
        <w:rPr>
          <w:rFonts w:ascii="微软雅黑" w:hAnsi="微软雅黑" w:cs="微软雅黑"/>
          <w:kern w:val="0"/>
          <w:sz w:val="18"/>
        </w:rPr>
        <w:br w:type="page"/>
      </w:r>
    </w:p>
    <w:tbl>
      <w:tblPr>
        <w:tblpPr w:leftFromText="180" w:rightFromText="180" w:vertAnchor="text" w:horzAnchor="margin" w:tblpY="913"/>
        <w:tblOverlap w:val="never"/>
        <w:tblW w:w="9758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82"/>
        <w:gridCol w:w="4437"/>
        <w:gridCol w:w="4439"/>
      </w:tblGrid>
      <w:tr w:rsidR="006B7EAB">
        <w:trPr>
          <w:trHeight w:val="532"/>
        </w:trPr>
        <w:tc>
          <w:tcPr>
            <w:tcW w:w="882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7" w:name="_附件四：人工智能与科技创新"/>
            <w:bookmarkEnd w:id="7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lastRenderedPageBreak/>
              <w:t>日期</w:t>
            </w:r>
          </w:p>
        </w:tc>
        <w:tc>
          <w:tcPr>
            <w:tcW w:w="443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39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747"/>
        </w:trPr>
        <w:tc>
          <w:tcPr>
            <w:tcW w:w="88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D1</w:t>
            </w:r>
          </w:p>
        </w:tc>
        <w:tc>
          <w:tcPr>
            <w:tcW w:w="443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39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259"/>
        </w:trPr>
        <w:tc>
          <w:tcPr>
            <w:tcW w:w="88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D2</w:t>
            </w:r>
          </w:p>
        </w:tc>
        <w:tc>
          <w:tcPr>
            <w:tcW w:w="443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名校探访：香港大学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39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机构参访：香港生产力促进局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了解香港产业发展业务；人才发展要求等</w:t>
            </w:r>
          </w:p>
        </w:tc>
      </w:tr>
      <w:tr w:rsidR="006B7EAB">
        <w:trPr>
          <w:trHeight w:val="1520"/>
        </w:trPr>
        <w:tc>
          <w:tcPr>
            <w:tcW w:w="88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D3</w:t>
            </w:r>
          </w:p>
        </w:tc>
        <w:tc>
          <w:tcPr>
            <w:tcW w:w="443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人工智能</w:t>
            </w:r>
            <w:r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439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大学参访：香港中文大学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142"/>
        </w:trPr>
        <w:tc>
          <w:tcPr>
            <w:tcW w:w="88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D4</w:t>
            </w:r>
          </w:p>
        </w:tc>
        <w:tc>
          <w:tcPr>
            <w:tcW w:w="443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A</w:t>
            </w:r>
            <w:r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  <w:t>I</w:t>
            </w: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</w:t>
            </w: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V</w:t>
            </w:r>
            <w:r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  <w:t>R/AR</w:t>
            </w:r>
          </w:p>
        </w:tc>
        <w:tc>
          <w:tcPr>
            <w:tcW w:w="4439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大学参访：香港科技大学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478"/>
        </w:trPr>
        <w:tc>
          <w:tcPr>
            <w:tcW w:w="88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D5</w:t>
            </w:r>
          </w:p>
        </w:tc>
        <w:tc>
          <w:tcPr>
            <w:tcW w:w="443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商业智能与数据挖掘</w:t>
            </w:r>
          </w:p>
        </w:tc>
        <w:tc>
          <w:tcPr>
            <w:tcW w:w="4439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机构参访：</w:t>
            </w: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前往香港展城馆；学习了解未来的城市规划</w:t>
            </w:r>
          </w:p>
          <w:p w:rsidR="006B7EAB" w:rsidRDefault="006B7EAB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6B7EAB">
        <w:trPr>
          <w:trHeight w:val="1482"/>
        </w:trPr>
        <w:tc>
          <w:tcPr>
            <w:tcW w:w="88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D6</w:t>
            </w:r>
          </w:p>
        </w:tc>
        <w:tc>
          <w:tcPr>
            <w:tcW w:w="443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pStyle w:val="af"/>
              <w:widowControl/>
              <w:numPr>
                <w:ilvl w:val="0"/>
                <w:numId w:val="6"/>
              </w:numPr>
              <w:spacing w:line="340" w:lineRule="exact"/>
              <w:ind w:firstLineChars="0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完成小组报告，提交报告</w:t>
            </w:r>
          </w:p>
          <w:p w:rsidR="006B7EAB" w:rsidRDefault="00E164FA">
            <w:pPr>
              <w:pStyle w:val="af"/>
              <w:widowControl/>
              <w:numPr>
                <w:ilvl w:val="0"/>
                <w:numId w:val="6"/>
              </w:numPr>
              <w:spacing w:line="340" w:lineRule="exact"/>
              <w:ind w:firstLineChars="0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</w:t>
            </w:r>
          </w:p>
        </w:tc>
        <w:tc>
          <w:tcPr>
            <w:tcW w:w="4439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 w:val="20"/>
                <w:szCs w:val="20"/>
              </w:rPr>
              <w:t>大数据与商业智能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color w:val="000000" w:themeColor="text1"/>
                <w:sz w:val="20"/>
                <w:szCs w:val="20"/>
              </w:rPr>
              <w:t>结业报告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：小组结业报告、口头演示、评委点评及评分</w:t>
            </w:r>
          </w:p>
        </w:tc>
      </w:tr>
      <w:tr w:rsidR="006B7EAB">
        <w:trPr>
          <w:trHeight w:val="769"/>
        </w:trPr>
        <w:tc>
          <w:tcPr>
            <w:tcW w:w="88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D7</w:t>
            </w:r>
          </w:p>
        </w:tc>
        <w:tc>
          <w:tcPr>
            <w:tcW w:w="8876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pStyle w:val="2"/>
        <w:rPr>
          <w:bCs/>
        </w:rPr>
      </w:pPr>
      <w:bookmarkStart w:id="8" w:name="_附件三：人工智能与科技创新"/>
      <w:bookmarkEnd w:id="8"/>
      <w:r>
        <w:rPr>
          <w:rFonts w:hint="eastAsia"/>
        </w:rPr>
        <w:t>附件三：人工智能与科技创新</w:t>
      </w:r>
    </w:p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E164FA">
      <w:pPr>
        <w:widowControl/>
        <w:jc w:val="left"/>
        <w:rPr>
          <w:rFonts w:ascii="微软雅黑" w:hAnsi="微软雅黑" w:cs="微软雅黑"/>
          <w:kern w:val="0"/>
          <w:sz w:val="18"/>
        </w:rPr>
      </w:pPr>
      <w:r>
        <w:rPr>
          <w:rFonts w:ascii="微软雅黑" w:hAnsi="微软雅黑" w:cs="微软雅黑"/>
          <w:kern w:val="0"/>
          <w:sz w:val="18"/>
        </w:rPr>
        <w:br w:type="page"/>
      </w:r>
    </w:p>
    <w:tbl>
      <w:tblPr>
        <w:tblpPr w:leftFromText="180" w:rightFromText="180" w:vertAnchor="text" w:horzAnchor="margin" w:tblpY="995"/>
        <w:tblOverlap w:val="never"/>
        <w:tblW w:w="9699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9" w:name="_附件五：商业与管理"/>
            <w:bookmarkEnd w:id="9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lastRenderedPageBreak/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822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D2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前往友邦集团；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机构发展及业务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企业人才要求等</w:t>
            </w:r>
          </w:p>
        </w:tc>
      </w:tr>
      <w:tr w:rsidR="006B7EAB">
        <w:trPr>
          <w:trHeight w:val="1408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D3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企业融资与资本市场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400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企业营销传播管理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香港科技大学参访；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689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D5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企业可持续发展与</w:t>
            </w:r>
            <w:r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  <w:t>ESG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前往香港金融管理局；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了解金融行业相关政策与环境</w:t>
            </w:r>
          </w:p>
        </w:tc>
      </w:tr>
      <w:tr w:rsidR="006B7EAB">
        <w:trPr>
          <w:trHeight w:val="569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小组汇报彩排；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 xml:space="preserve">           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大数据与市场营销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；</w:t>
            </w:r>
          </w:p>
          <w:p w:rsidR="006B7EAB" w:rsidRDefault="006B7EAB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6B7EAB">
        <w:trPr>
          <w:trHeight w:val="62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pStyle w:val="2"/>
        <w:rPr>
          <w:bCs/>
        </w:rPr>
      </w:pPr>
      <w:bookmarkStart w:id="10" w:name="_附件四：商业与管理"/>
      <w:bookmarkEnd w:id="10"/>
      <w:r>
        <w:rPr>
          <w:rFonts w:hint="eastAsia"/>
        </w:rPr>
        <w:t>附件四：商业与管理</w:t>
      </w:r>
    </w:p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E164FA">
      <w:pPr>
        <w:widowControl/>
        <w:jc w:val="left"/>
        <w:rPr>
          <w:rFonts w:ascii="微软雅黑" w:hAnsi="微软雅黑" w:cs="微软雅黑"/>
          <w:b/>
          <w:bCs/>
          <w:sz w:val="24"/>
          <w:szCs w:val="24"/>
        </w:rPr>
      </w:pPr>
      <w:r>
        <w:rPr>
          <w:rFonts w:ascii="微软雅黑" w:hAnsi="微软雅黑" w:cs="微软雅黑"/>
          <w:b/>
          <w:bCs/>
          <w:sz w:val="24"/>
          <w:szCs w:val="24"/>
        </w:rPr>
        <w:br w:type="page"/>
      </w:r>
    </w:p>
    <w:p w:rsidR="006B7EAB" w:rsidRDefault="00E164FA">
      <w:pPr>
        <w:pStyle w:val="2"/>
      </w:pPr>
      <w:bookmarkStart w:id="11" w:name="_附件五：金融与投资"/>
      <w:bookmarkEnd w:id="11"/>
      <w:r>
        <w:rPr>
          <w:rFonts w:hint="eastAsia"/>
        </w:rPr>
        <w:lastRenderedPageBreak/>
        <w:t>附件五：金融与投资</w:t>
      </w:r>
    </w:p>
    <w:tbl>
      <w:tblPr>
        <w:tblpPr w:leftFromText="180" w:rightFromText="180" w:vertAnchor="text" w:horzAnchor="margin" w:tblpY="-53"/>
        <w:tblOverlap w:val="never"/>
        <w:tblW w:w="9699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12" w:name="_附件六：商业分析"/>
            <w:bookmarkStart w:id="13" w:name="_Hlk159942870"/>
            <w:bookmarkEnd w:id="12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396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D2</w:t>
            </w:r>
          </w:p>
          <w:p w:rsidR="006B7EAB" w:rsidRDefault="006B7EAB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前往友邦集团；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机构发展及业务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企业人才要求等</w:t>
            </w:r>
          </w:p>
        </w:tc>
      </w:tr>
      <w:tr w:rsidR="006B7EAB">
        <w:trPr>
          <w:trHeight w:val="1401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D3</w:t>
            </w:r>
          </w:p>
          <w:p w:rsidR="006B7EAB" w:rsidRDefault="006B7EAB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环球经济与金融市场分析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970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金融产品和投资组合概论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香港科技大学参访；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704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D5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绿色金融与</w:t>
            </w:r>
            <w:r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  <w:t>ESG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前往香港金融管理局；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了解金融行业相关政策与环境</w:t>
            </w:r>
          </w:p>
        </w:tc>
      </w:tr>
      <w:tr w:rsidR="006B7EAB">
        <w:trPr>
          <w:trHeight w:val="1686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小组汇报彩排；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 xml:space="preserve">           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金融科技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；</w:t>
            </w:r>
          </w:p>
        </w:tc>
      </w:tr>
      <w:tr w:rsidR="006B7EAB">
        <w:trPr>
          <w:trHeight w:val="62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bookmarkEnd w:id="13"/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6B7EAB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kern w:val="0"/>
          <w:sz w:val="18"/>
        </w:rPr>
      </w:pPr>
    </w:p>
    <w:p w:rsidR="006B7EAB" w:rsidRDefault="00E164FA">
      <w:pPr>
        <w:widowControl/>
        <w:jc w:val="left"/>
        <w:rPr>
          <w:rFonts w:ascii="微软雅黑" w:hAnsi="微软雅黑" w:cs="微软雅黑"/>
          <w:kern w:val="0"/>
          <w:sz w:val="18"/>
        </w:rPr>
      </w:pPr>
      <w:r>
        <w:rPr>
          <w:rFonts w:ascii="微软雅黑" w:hAnsi="微软雅黑" w:cs="微软雅黑"/>
          <w:kern w:val="0"/>
          <w:sz w:val="18"/>
        </w:rPr>
        <w:br w:type="page"/>
      </w:r>
    </w:p>
    <w:p w:rsidR="006B7EAB" w:rsidRDefault="00E164FA">
      <w:pPr>
        <w:pStyle w:val="2"/>
        <w:rPr>
          <w:bCs/>
        </w:rPr>
      </w:pPr>
      <w:bookmarkStart w:id="14" w:name="_附件六：商业分析_1"/>
      <w:bookmarkEnd w:id="14"/>
      <w:r>
        <w:rPr>
          <w:rFonts w:hint="eastAsia"/>
        </w:rPr>
        <w:lastRenderedPageBreak/>
        <w:t>附件六：商业分析</w:t>
      </w:r>
    </w:p>
    <w:tbl>
      <w:tblPr>
        <w:tblpPr w:leftFromText="180" w:rightFromText="180" w:vertAnchor="text" w:horzAnchor="page" w:tblpXSpec="center" w:tblpY="264"/>
        <w:tblOverlap w:val="never"/>
        <w:tblW w:w="9699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  <w:jc w:val="center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15" w:name="_Hlk159946442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  <w:jc w:val="center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822"/>
          <w:jc w:val="center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D2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前往友邦集团；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机构发展及业务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企业人才要求等</w:t>
            </w:r>
          </w:p>
        </w:tc>
      </w:tr>
      <w:tr w:rsidR="006B7EAB">
        <w:trPr>
          <w:trHeight w:val="1266"/>
          <w:jc w:val="center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D3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大数据及商业智能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541"/>
          <w:jc w:val="center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人工智能在商业智能中的使用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香港科技大学参访；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689"/>
          <w:jc w:val="center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D5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人力资源数据分析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前往香港金融管理局；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了解金融行业相关政策与环境</w:t>
            </w:r>
          </w:p>
        </w:tc>
      </w:tr>
      <w:tr w:rsidR="006B7EAB">
        <w:trPr>
          <w:trHeight w:val="1416"/>
          <w:jc w:val="center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小组汇报彩排。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大数据与市场营销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评委点评及评分。</w:t>
            </w:r>
          </w:p>
        </w:tc>
      </w:tr>
      <w:tr w:rsidR="006B7EAB">
        <w:trPr>
          <w:trHeight w:val="627"/>
          <w:jc w:val="center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bookmarkEnd w:id="15"/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E164FA">
      <w:pPr>
        <w:widowControl/>
        <w:jc w:val="left"/>
        <w:rPr>
          <w:rFonts w:ascii="微软雅黑" w:hAnsi="微软雅黑" w:cs="微软雅黑"/>
          <w:b/>
          <w:bCs/>
          <w:color w:val="000000" w:themeColor="text1"/>
          <w:sz w:val="24"/>
          <w:szCs w:val="24"/>
        </w:rPr>
      </w:pPr>
      <w:r>
        <w:rPr>
          <w:rFonts w:ascii="微软雅黑" w:hAnsi="微软雅黑" w:cs="微软雅黑"/>
          <w:b/>
          <w:bCs/>
          <w:color w:val="000000" w:themeColor="text1"/>
          <w:sz w:val="24"/>
          <w:szCs w:val="24"/>
        </w:rPr>
        <w:br w:type="page"/>
      </w:r>
    </w:p>
    <w:p w:rsidR="006B7EAB" w:rsidRDefault="00E164FA">
      <w:pPr>
        <w:pStyle w:val="2"/>
        <w:rPr>
          <w:bCs/>
        </w:rPr>
      </w:pPr>
      <w:bookmarkStart w:id="16" w:name="_附件七：大众传播与品牌营销"/>
      <w:bookmarkEnd w:id="16"/>
      <w:r>
        <w:rPr>
          <w:rFonts w:hint="eastAsia"/>
        </w:rPr>
        <w:lastRenderedPageBreak/>
        <w:t>附件七：大众传播与品牌营销</w:t>
      </w:r>
    </w:p>
    <w:p w:rsidR="006B7EAB" w:rsidRDefault="006B7EAB">
      <w:pPr>
        <w:pStyle w:val="af"/>
        <w:widowControl/>
        <w:spacing w:line="400" w:lineRule="exact"/>
        <w:ind w:firstLineChars="0" w:firstLine="0"/>
        <w:jc w:val="left"/>
        <w:rPr>
          <w:rFonts w:ascii="微软雅黑" w:hAnsi="微软雅黑" w:cs="微软雅黑"/>
          <w:kern w:val="0"/>
          <w:sz w:val="18"/>
        </w:rPr>
      </w:pPr>
    </w:p>
    <w:tbl>
      <w:tblPr>
        <w:tblW w:w="9538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96"/>
        <w:gridCol w:w="4932"/>
        <w:gridCol w:w="3710"/>
      </w:tblGrid>
      <w:tr w:rsidR="006B7EAB">
        <w:trPr>
          <w:trHeight w:val="504"/>
          <w:jc w:val="center"/>
        </w:trPr>
        <w:tc>
          <w:tcPr>
            <w:tcW w:w="896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17" w:name="_Hlk159946268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日期</w:t>
            </w:r>
          </w:p>
        </w:tc>
        <w:tc>
          <w:tcPr>
            <w:tcW w:w="4932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3710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707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D1</w:t>
            </w:r>
          </w:p>
        </w:tc>
        <w:tc>
          <w:tcPr>
            <w:tcW w:w="493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3710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731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D2</w:t>
            </w:r>
          </w:p>
          <w:p w:rsidR="006B7EAB" w:rsidRDefault="006B7EAB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93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3710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机构参访：凤凰卫视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传媒行业发展及业务；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人才发展要求</w:t>
            </w:r>
          </w:p>
        </w:tc>
      </w:tr>
      <w:tr w:rsidR="006B7EAB">
        <w:trPr>
          <w:trHeight w:val="1557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D3</w:t>
            </w:r>
          </w:p>
        </w:tc>
        <w:tc>
          <w:tcPr>
            <w:tcW w:w="493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大众传播导论</w:t>
            </w:r>
            <w:r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710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580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D4</w:t>
            </w:r>
          </w:p>
        </w:tc>
        <w:tc>
          <w:tcPr>
            <w:tcW w:w="493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公共关系与品牌广告</w:t>
            </w:r>
          </w:p>
        </w:tc>
        <w:tc>
          <w:tcPr>
            <w:tcW w:w="3710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香港浸会大学参访；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与香港浸会大学学生代表交流分享学习心得</w:t>
            </w:r>
          </w:p>
        </w:tc>
      </w:tr>
      <w:tr w:rsidR="006B7EAB">
        <w:trPr>
          <w:trHeight w:val="1658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D5</w:t>
            </w:r>
          </w:p>
        </w:tc>
        <w:tc>
          <w:tcPr>
            <w:tcW w:w="493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视觉艺术之创意思维</w:t>
            </w:r>
          </w:p>
        </w:tc>
        <w:tc>
          <w:tcPr>
            <w:tcW w:w="3710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机构参访：</w:t>
            </w: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香港展城馆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学习了解未来城市规划</w:t>
            </w:r>
          </w:p>
        </w:tc>
      </w:tr>
      <w:tr w:rsidR="006B7EAB">
        <w:trPr>
          <w:trHeight w:val="1271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D6</w:t>
            </w:r>
          </w:p>
        </w:tc>
        <w:tc>
          <w:tcPr>
            <w:tcW w:w="4932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pStyle w:val="af"/>
              <w:widowControl/>
              <w:numPr>
                <w:ilvl w:val="0"/>
                <w:numId w:val="6"/>
              </w:numPr>
              <w:spacing w:line="340" w:lineRule="exact"/>
              <w:ind w:firstLineChars="0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完成小组报告，提交报告</w:t>
            </w:r>
          </w:p>
          <w:p w:rsidR="006B7EAB" w:rsidRDefault="00E164FA">
            <w:pPr>
              <w:pStyle w:val="af"/>
              <w:widowControl/>
              <w:numPr>
                <w:ilvl w:val="0"/>
                <w:numId w:val="6"/>
              </w:numPr>
              <w:spacing w:line="340" w:lineRule="exact"/>
              <w:ind w:firstLineChars="0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</w:t>
            </w:r>
          </w:p>
        </w:tc>
        <w:tc>
          <w:tcPr>
            <w:tcW w:w="3710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 w:val="20"/>
                <w:szCs w:val="20"/>
              </w:rPr>
              <w:t>市场营销导论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小组结业报告、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</w:t>
            </w:r>
          </w:p>
        </w:tc>
      </w:tr>
      <w:tr w:rsidR="006B7EAB">
        <w:trPr>
          <w:trHeight w:val="729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D7</w:t>
            </w:r>
          </w:p>
        </w:tc>
        <w:tc>
          <w:tcPr>
            <w:tcW w:w="864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bookmarkStart w:id="18" w:name="_Hlk159945897"/>
      <w:bookmarkEnd w:id="17"/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6B7EAB">
      <w:pPr>
        <w:widowControl/>
        <w:tabs>
          <w:tab w:val="left" w:pos="-420"/>
        </w:tabs>
        <w:spacing w:line="400" w:lineRule="exact"/>
        <w:jc w:val="left"/>
        <w:rPr>
          <w:rFonts w:ascii="微软雅黑" w:hAnsi="微软雅黑" w:cs="微软雅黑"/>
          <w:b/>
          <w:bCs/>
          <w:sz w:val="24"/>
          <w:szCs w:val="24"/>
        </w:rPr>
      </w:pPr>
    </w:p>
    <w:bookmarkEnd w:id="18"/>
    <w:p w:rsidR="006B7EAB" w:rsidRDefault="006B7EAB">
      <w:pPr>
        <w:widowControl/>
        <w:jc w:val="left"/>
        <w:rPr>
          <w:rFonts w:ascii="微软雅黑" w:hAnsi="微软雅黑" w:cs="微软雅黑"/>
          <w:b/>
          <w:bCs/>
          <w:sz w:val="24"/>
          <w:szCs w:val="24"/>
        </w:rPr>
      </w:pPr>
    </w:p>
    <w:p w:rsidR="006B7EAB" w:rsidRDefault="00E164FA">
      <w:pPr>
        <w:widowControl/>
        <w:jc w:val="left"/>
        <w:rPr>
          <w:rFonts w:ascii="微软雅黑" w:hAnsi="微软雅黑" w:cs="微软雅黑"/>
          <w:b/>
          <w:bCs/>
          <w:sz w:val="24"/>
          <w:szCs w:val="24"/>
        </w:rPr>
      </w:pPr>
      <w:r>
        <w:rPr>
          <w:rFonts w:ascii="微软雅黑" w:hAnsi="微软雅黑" w:cs="微软雅黑"/>
          <w:b/>
          <w:bCs/>
          <w:sz w:val="24"/>
          <w:szCs w:val="24"/>
        </w:rPr>
        <w:br w:type="page"/>
      </w:r>
    </w:p>
    <w:p w:rsidR="006B7EAB" w:rsidRDefault="00E164FA">
      <w:pPr>
        <w:pStyle w:val="2"/>
        <w:rPr>
          <w:bCs/>
        </w:rPr>
      </w:pPr>
      <w:bookmarkStart w:id="19" w:name="_附件八：艺术与文化产业"/>
      <w:bookmarkEnd w:id="19"/>
      <w:r>
        <w:rPr>
          <w:rFonts w:hint="eastAsia"/>
        </w:rPr>
        <w:lastRenderedPageBreak/>
        <w:t>附件八：艺术与文化产业</w:t>
      </w:r>
    </w:p>
    <w:tbl>
      <w:tblPr>
        <w:tblW w:w="9538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96"/>
        <w:gridCol w:w="4491"/>
        <w:gridCol w:w="4151"/>
      </w:tblGrid>
      <w:tr w:rsidR="006B7EAB">
        <w:trPr>
          <w:trHeight w:val="504"/>
          <w:jc w:val="center"/>
        </w:trPr>
        <w:tc>
          <w:tcPr>
            <w:tcW w:w="896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日期</w:t>
            </w:r>
          </w:p>
        </w:tc>
        <w:tc>
          <w:tcPr>
            <w:tcW w:w="449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15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707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D1</w:t>
            </w:r>
          </w:p>
        </w:tc>
        <w:tc>
          <w:tcPr>
            <w:tcW w:w="449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15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303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D2</w:t>
            </w:r>
          </w:p>
          <w:p w:rsidR="006B7EAB" w:rsidRDefault="006B7EAB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15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机构参访：当代视觉文化新地标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M+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感受香港视觉艺术高地</w:t>
            </w:r>
          </w:p>
        </w:tc>
      </w:tr>
      <w:tr w:rsidR="006B7EAB">
        <w:trPr>
          <w:trHeight w:val="1557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D3</w:t>
            </w:r>
          </w:p>
        </w:tc>
        <w:tc>
          <w:tcPr>
            <w:tcW w:w="449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艺术在当代社会中的角色</w:t>
            </w:r>
          </w:p>
        </w:tc>
        <w:tc>
          <w:tcPr>
            <w:tcW w:w="415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580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D4</w:t>
            </w:r>
          </w:p>
        </w:tc>
        <w:tc>
          <w:tcPr>
            <w:tcW w:w="449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创意广告</w:t>
            </w:r>
          </w:p>
        </w:tc>
        <w:tc>
          <w:tcPr>
            <w:tcW w:w="415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香港浸会大学参访；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与香港浸会大学学生代表交流分享学习心得</w:t>
            </w:r>
          </w:p>
        </w:tc>
      </w:tr>
      <w:tr w:rsidR="006B7EAB">
        <w:trPr>
          <w:trHeight w:val="1658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D5</w:t>
            </w:r>
          </w:p>
        </w:tc>
        <w:tc>
          <w:tcPr>
            <w:tcW w:w="449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时尚、性别和媒体的机制</w:t>
            </w:r>
          </w:p>
        </w:tc>
        <w:tc>
          <w:tcPr>
            <w:tcW w:w="415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机构参访：凤凰卫视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传媒行业发展及业务；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人才发展要求</w:t>
            </w:r>
          </w:p>
        </w:tc>
      </w:tr>
      <w:tr w:rsidR="006B7EAB">
        <w:trPr>
          <w:trHeight w:val="1271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D6</w:t>
            </w:r>
          </w:p>
        </w:tc>
        <w:tc>
          <w:tcPr>
            <w:tcW w:w="449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pStyle w:val="af"/>
              <w:widowControl/>
              <w:numPr>
                <w:ilvl w:val="0"/>
                <w:numId w:val="6"/>
              </w:numPr>
              <w:spacing w:line="340" w:lineRule="exact"/>
              <w:ind w:firstLineChars="0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完成小组报告，提交报告</w:t>
            </w:r>
          </w:p>
          <w:p w:rsidR="006B7EAB" w:rsidRDefault="00E164FA">
            <w:pPr>
              <w:pStyle w:val="af"/>
              <w:widowControl/>
              <w:numPr>
                <w:ilvl w:val="0"/>
                <w:numId w:val="6"/>
              </w:numPr>
              <w:spacing w:line="340" w:lineRule="exact"/>
              <w:ind w:firstLineChars="0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</w:t>
            </w:r>
          </w:p>
        </w:tc>
        <w:tc>
          <w:tcPr>
            <w:tcW w:w="415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bCs/>
                <w:color w:val="000000" w:themeColor="text1"/>
                <w:kern w:val="0"/>
                <w:sz w:val="20"/>
                <w:szCs w:val="20"/>
              </w:rPr>
              <w:t>视觉艺术之创意思维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小组结业报告、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</w:t>
            </w:r>
          </w:p>
        </w:tc>
      </w:tr>
      <w:tr w:rsidR="006B7EAB">
        <w:trPr>
          <w:trHeight w:val="729"/>
          <w:jc w:val="center"/>
        </w:trPr>
        <w:tc>
          <w:tcPr>
            <w:tcW w:w="896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D7</w:t>
            </w:r>
          </w:p>
        </w:tc>
        <w:tc>
          <w:tcPr>
            <w:tcW w:w="864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6B7EAB">
      <w:pPr>
        <w:widowControl/>
        <w:tabs>
          <w:tab w:val="left" w:pos="-420"/>
        </w:tabs>
        <w:spacing w:line="400" w:lineRule="exact"/>
        <w:jc w:val="left"/>
        <w:rPr>
          <w:rFonts w:ascii="微软雅黑" w:hAnsi="微软雅黑" w:cs="微软雅黑"/>
          <w:b/>
          <w:bCs/>
          <w:sz w:val="24"/>
          <w:szCs w:val="24"/>
        </w:rPr>
      </w:pPr>
    </w:p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bookmarkStart w:id="20" w:name="_Hlk159946673"/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bookmarkEnd w:id="20"/>
    <w:p w:rsidR="006B7EAB" w:rsidRDefault="00E164FA">
      <w:pPr>
        <w:widowControl/>
        <w:jc w:val="left"/>
        <w:rPr>
          <w:rFonts w:ascii="微软雅黑" w:hAnsi="微软雅黑" w:cs="微软雅黑"/>
          <w:b/>
          <w:bCs/>
          <w:sz w:val="24"/>
          <w:szCs w:val="24"/>
        </w:rPr>
      </w:pPr>
      <w:r>
        <w:rPr>
          <w:rFonts w:ascii="微软雅黑" w:hAnsi="微软雅黑" w:cs="微软雅黑"/>
          <w:b/>
          <w:bCs/>
          <w:sz w:val="24"/>
          <w:szCs w:val="24"/>
        </w:rPr>
        <w:br w:type="page"/>
      </w:r>
    </w:p>
    <w:tbl>
      <w:tblPr>
        <w:tblpPr w:leftFromText="180" w:rightFromText="180" w:vertAnchor="text" w:horzAnchor="margin" w:tblpY="1001"/>
        <w:tblOverlap w:val="never"/>
        <w:tblW w:w="9699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21" w:name="_附件九：金融与经济"/>
            <w:bookmarkEnd w:id="21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lastRenderedPageBreak/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812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D2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前往友邦集团；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机构发展及业务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企业人才要求等</w:t>
            </w:r>
          </w:p>
        </w:tc>
      </w:tr>
      <w:tr w:rsidR="006B7EAB">
        <w:trPr>
          <w:trHeight w:val="1413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D3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国际货币市场和人民币国际化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546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财富管理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香港科技大学参访；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823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D5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经济、金融与创新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前往香港金融管理局；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了解金融行业相关政策与环境</w:t>
            </w:r>
          </w:p>
        </w:tc>
      </w:tr>
      <w:tr w:rsidR="006B7EAB">
        <w:trPr>
          <w:trHeight w:val="569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小组汇报彩排。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金融产品和投资组合概论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评委点评及评分。</w:t>
            </w:r>
          </w:p>
        </w:tc>
      </w:tr>
      <w:tr w:rsidR="006B7EAB">
        <w:trPr>
          <w:trHeight w:val="62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pStyle w:val="2"/>
        <w:rPr>
          <w:bCs/>
        </w:rPr>
      </w:pPr>
      <w:r>
        <w:rPr>
          <w:rFonts w:hint="eastAsia"/>
        </w:rPr>
        <w:t>附件九：金融与经济</w:t>
      </w:r>
    </w:p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E164FA">
      <w:pPr>
        <w:widowControl/>
        <w:jc w:val="left"/>
        <w:rPr>
          <w:rFonts w:ascii="微软雅黑" w:hAnsi="微软雅黑" w:cs="微软雅黑"/>
          <w:sz w:val="22"/>
        </w:rPr>
      </w:pPr>
      <w:r>
        <w:rPr>
          <w:rFonts w:ascii="微软雅黑" w:hAnsi="微软雅黑" w:cs="微软雅黑"/>
          <w:sz w:val="22"/>
        </w:rPr>
        <w:br w:type="page"/>
      </w:r>
    </w:p>
    <w:p w:rsidR="006B7EAB" w:rsidRDefault="00E164FA">
      <w:pPr>
        <w:pStyle w:val="2"/>
        <w:rPr>
          <w:bCs/>
        </w:rPr>
      </w:pPr>
      <w:bookmarkStart w:id="22" w:name="_附件十：土木与建筑规划"/>
      <w:bookmarkEnd w:id="22"/>
      <w:r>
        <w:rPr>
          <w:rFonts w:hint="eastAsia"/>
        </w:rPr>
        <w:lastRenderedPageBreak/>
        <w:t>附件十：土木与建筑规划</w:t>
      </w:r>
    </w:p>
    <w:tbl>
      <w:tblPr>
        <w:tblpPr w:leftFromText="180" w:rightFromText="180" w:vertAnchor="text" w:horzAnchor="margin" w:tblpY="165"/>
        <w:tblOverlap w:val="never"/>
        <w:tblW w:w="9699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3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D2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机构参访：</w:t>
            </w: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香港展城馆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学习了解未来城市规划</w:t>
            </w:r>
          </w:p>
        </w:tc>
      </w:tr>
      <w:tr w:rsidR="006B7EAB">
        <w:trPr>
          <w:trHeight w:val="2053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D3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城市建筑与人居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616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旧城改造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香港科技大学参访；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474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D5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城市进化与人类繁荣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前往香港生产力促进局；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了解香港产业发展</w:t>
            </w:r>
          </w:p>
        </w:tc>
      </w:tr>
      <w:tr w:rsidR="006B7EAB">
        <w:trPr>
          <w:trHeight w:val="1618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小组汇报彩排。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建筑设计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评委点评及评分。</w:t>
            </w:r>
          </w:p>
        </w:tc>
      </w:tr>
      <w:tr w:rsidR="006B7EAB">
        <w:trPr>
          <w:trHeight w:val="62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6B7EAB">
      <w:pPr>
        <w:widowControl/>
        <w:tabs>
          <w:tab w:val="left" w:pos="-420"/>
        </w:tabs>
        <w:spacing w:line="400" w:lineRule="exact"/>
        <w:jc w:val="left"/>
        <w:rPr>
          <w:rFonts w:ascii="微软雅黑" w:hAnsi="微软雅黑" w:cs="微软雅黑"/>
          <w:sz w:val="22"/>
        </w:rPr>
      </w:pPr>
    </w:p>
    <w:p w:rsidR="006B7EAB" w:rsidRDefault="00E164FA">
      <w:pPr>
        <w:widowControl/>
        <w:jc w:val="left"/>
        <w:rPr>
          <w:rFonts w:ascii="微软雅黑" w:hAnsi="微软雅黑" w:cs="微软雅黑"/>
          <w:sz w:val="22"/>
        </w:rPr>
      </w:pPr>
      <w:r>
        <w:rPr>
          <w:rFonts w:ascii="微软雅黑" w:hAnsi="微软雅黑" w:cs="微软雅黑"/>
          <w:sz w:val="22"/>
        </w:rPr>
        <w:br w:type="page"/>
      </w:r>
    </w:p>
    <w:tbl>
      <w:tblPr>
        <w:tblpPr w:leftFromText="180" w:rightFromText="180" w:vertAnchor="text" w:horzAnchor="margin" w:tblpY="1035"/>
        <w:tblOverlap w:val="never"/>
        <w:tblW w:w="9699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23" w:name="_附件十一：社会学与公共管理"/>
            <w:bookmarkEnd w:id="23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lastRenderedPageBreak/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681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D2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前往领展可持续未来馆，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了解可持续发展理念</w:t>
            </w:r>
          </w:p>
        </w:tc>
      </w:tr>
      <w:tr w:rsidR="006B7EAB">
        <w:trPr>
          <w:trHeight w:val="1818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D3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艺术在当代社会的角色扮演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702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民间社会组织的战略领导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香港浸会大学参访；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464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D5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社会的贫困、不平等、教育与发展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前往黑暗中的对话体验馆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了解弱势群体</w:t>
            </w:r>
          </w:p>
        </w:tc>
      </w:tr>
      <w:tr w:rsidR="006B7EAB">
        <w:trPr>
          <w:trHeight w:val="1634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小组汇报彩排。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城市进化与人类繁荣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评委点评及评分。</w:t>
            </w:r>
          </w:p>
        </w:tc>
      </w:tr>
      <w:tr w:rsidR="006B7EAB">
        <w:trPr>
          <w:trHeight w:val="62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pStyle w:val="2"/>
        <w:rPr>
          <w:bCs/>
        </w:rPr>
      </w:pPr>
      <w:r>
        <w:rPr>
          <w:rFonts w:hint="eastAsia"/>
        </w:rPr>
        <w:t>附件十一：社会学与公共管理</w:t>
      </w:r>
    </w:p>
    <w:p w:rsidR="006B7EAB" w:rsidRDefault="00E164FA">
      <w:pPr>
        <w:widowControl/>
        <w:tabs>
          <w:tab w:val="left" w:pos="-420"/>
        </w:tabs>
        <w:spacing w:line="400" w:lineRule="exact"/>
        <w:ind w:firstLineChars="2900" w:firstLine="5220"/>
        <w:jc w:val="left"/>
        <w:rPr>
          <w:rFonts w:ascii="微软雅黑" w:hAnsi="微软雅黑" w:cs="微软雅黑"/>
          <w:sz w:val="22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E164FA">
      <w:pPr>
        <w:widowControl/>
        <w:tabs>
          <w:tab w:val="left" w:pos="-420"/>
        </w:tabs>
        <w:spacing w:line="400" w:lineRule="exact"/>
        <w:jc w:val="right"/>
        <w:rPr>
          <w:rFonts w:ascii="微软雅黑" w:hAnsi="微软雅黑" w:cs="微软雅黑"/>
          <w:color w:val="000000" w:themeColor="text1"/>
          <w:kern w:val="0"/>
          <w:sz w:val="18"/>
        </w:rPr>
      </w:pPr>
      <w:r>
        <w:rPr>
          <w:rFonts w:ascii="微软雅黑" w:hAnsi="微软雅黑" w:cs="微软雅黑"/>
          <w:sz w:val="22"/>
        </w:rPr>
        <w:br w:type="page"/>
      </w:r>
    </w:p>
    <w:tbl>
      <w:tblPr>
        <w:tblpPr w:leftFromText="180" w:rightFromText="180" w:vertAnchor="text" w:horzAnchor="margin" w:tblpY="994"/>
        <w:tblOverlap w:val="never"/>
        <w:tblW w:w="9699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77"/>
        <w:gridCol w:w="4411"/>
        <w:gridCol w:w="4411"/>
      </w:tblGrid>
      <w:tr w:rsidR="006B7EAB">
        <w:trPr>
          <w:trHeight w:val="402"/>
        </w:trPr>
        <w:tc>
          <w:tcPr>
            <w:tcW w:w="877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bookmarkStart w:id="24" w:name="_附件十二：商业法与竞争法"/>
            <w:bookmarkEnd w:id="24"/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lastRenderedPageBreak/>
              <w:t>日期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上午</w:t>
            </w:r>
          </w:p>
        </w:tc>
        <w:tc>
          <w:tcPr>
            <w:tcW w:w="4411" w:type="dxa"/>
            <w:shd w:val="clear" w:color="auto" w:fill="D8D8D8" w:themeFill="background1" w:themeFillShade="D8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下午</w:t>
            </w:r>
          </w:p>
        </w:tc>
      </w:tr>
      <w:tr w:rsidR="006B7EAB">
        <w:trPr>
          <w:trHeight w:val="59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D1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前往机场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到达香港，统一专车接机，入住酒店</w:t>
            </w:r>
          </w:p>
        </w:tc>
      </w:tr>
      <w:tr w:rsidR="006B7EAB">
        <w:trPr>
          <w:trHeight w:val="1964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D2</w:t>
            </w:r>
          </w:p>
          <w:p w:rsidR="006B7EAB" w:rsidRDefault="006B7EAB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与香港大学学生代表交流分享学习心得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企业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前往香港立法院；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旁听立法会会议，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了解机构职能</w:t>
            </w:r>
          </w:p>
        </w:tc>
      </w:tr>
      <w:tr w:rsidR="006B7EAB">
        <w:trPr>
          <w:trHeight w:val="2053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D3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跨国界中的法律和商业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香港中文大学参访；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与香港中文大学学生代表交流分享学习心得</w:t>
            </w:r>
          </w:p>
        </w:tc>
      </w:tr>
      <w:tr w:rsidR="006B7EAB">
        <w:trPr>
          <w:trHeight w:val="1970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D4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国际贸易法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名校探索：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香港科技大学参访；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与香港科技大学学生代表交流分享学习心得</w:t>
            </w:r>
          </w:p>
        </w:tc>
      </w:tr>
      <w:tr w:rsidR="006B7EAB">
        <w:trPr>
          <w:trHeight w:val="1752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D5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官方学术课程：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国际投资法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  <w:t>机构参访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前往香港金融管理局</w:t>
            </w:r>
          </w:p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了解金融行业相关政策与环境</w:t>
            </w:r>
          </w:p>
        </w:tc>
      </w:tr>
      <w:tr w:rsidR="006B7EAB">
        <w:trPr>
          <w:trHeight w:val="1692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D6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报告准备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完成小组报告；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提交报告；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小组汇报彩排。</w:t>
            </w:r>
          </w:p>
        </w:tc>
        <w:tc>
          <w:tcPr>
            <w:tcW w:w="4411" w:type="dxa"/>
            <w:shd w:val="clear" w:color="auto" w:fill="auto"/>
            <w:noWrap/>
            <w:vAlign w:val="center"/>
          </w:tcPr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官方学术课程：</w:t>
            </w: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太空法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结业报告：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小组结业专案；</w:t>
            </w:r>
          </w:p>
          <w:p w:rsidR="006B7EAB" w:rsidRDefault="00E164FA">
            <w:pPr>
              <w:spacing w:line="340" w:lineRule="exact"/>
              <w:rPr>
                <w:rFonts w:ascii="微软雅黑" w:hAnsi="微软雅黑" w:cs="微软雅黑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sz w:val="20"/>
                <w:szCs w:val="20"/>
              </w:rPr>
              <w:t>评委点评及评分</w:t>
            </w:r>
            <w:r>
              <w:rPr>
                <w:rFonts w:ascii="微软雅黑" w:hAnsi="微软雅黑" w:cs="微软雅黑" w:hint="eastAsia"/>
                <w:b/>
                <w:bCs/>
                <w:color w:val="000000" w:themeColor="text1"/>
                <w:sz w:val="20"/>
                <w:szCs w:val="20"/>
              </w:rPr>
              <w:t>。</w:t>
            </w:r>
          </w:p>
        </w:tc>
      </w:tr>
      <w:tr w:rsidR="006B7EAB">
        <w:trPr>
          <w:trHeight w:val="627"/>
        </w:trPr>
        <w:tc>
          <w:tcPr>
            <w:tcW w:w="877" w:type="dxa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Cs w:val="21"/>
              </w:rPr>
              <w:t>D7</w:t>
            </w:r>
          </w:p>
        </w:tc>
        <w:tc>
          <w:tcPr>
            <w:tcW w:w="8822" w:type="dxa"/>
            <w:gridSpan w:val="2"/>
            <w:shd w:val="clear" w:color="auto" w:fill="auto"/>
            <w:noWrap/>
            <w:vAlign w:val="center"/>
          </w:tcPr>
          <w:p w:rsidR="006B7EAB" w:rsidRDefault="00E164FA">
            <w:pPr>
              <w:widowControl/>
              <w:spacing w:line="340" w:lineRule="exact"/>
              <w:rPr>
                <w:rFonts w:ascii="微软雅黑" w:hAnsi="微软雅黑" w:cs="微软雅黑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软雅黑" w:hAnsi="微软雅黑" w:cs="微软雅黑" w:hint="eastAsia"/>
                <w:color w:val="000000" w:themeColor="text1"/>
                <w:kern w:val="0"/>
                <w:sz w:val="20"/>
                <w:szCs w:val="20"/>
              </w:rPr>
              <w:t>项目结束，返程</w:t>
            </w:r>
          </w:p>
        </w:tc>
      </w:tr>
    </w:tbl>
    <w:p w:rsidR="006B7EAB" w:rsidRDefault="00E164FA">
      <w:pPr>
        <w:pStyle w:val="2"/>
        <w:rPr>
          <w:bCs/>
        </w:rPr>
      </w:pPr>
      <w:r>
        <w:rPr>
          <w:rFonts w:hint="eastAsia"/>
        </w:rPr>
        <w:t>附件十二：商业法与竞争法</w:t>
      </w:r>
    </w:p>
    <w:p w:rsidR="006B7EAB" w:rsidRDefault="00E164FA">
      <w:pPr>
        <w:widowControl/>
        <w:tabs>
          <w:tab w:val="left" w:pos="-420"/>
        </w:tabs>
        <w:spacing w:line="400" w:lineRule="exact"/>
        <w:ind w:firstLineChars="2900" w:firstLine="5220"/>
        <w:jc w:val="left"/>
        <w:rPr>
          <w:rFonts w:ascii="微软雅黑" w:hAnsi="微软雅黑" w:cs="微软雅黑"/>
          <w:sz w:val="22"/>
        </w:rPr>
      </w:pP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 xml:space="preserve">* </w:t>
      </w:r>
      <w:r>
        <w:rPr>
          <w:rFonts w:ascii="微软雅黑" w:hAnsi="微软雅黑" w:cs="微软雅黑" w:hint="eastAsia"/>
          <w:color w:val="000000" w:themeColor="text1"/>
          <w:kern w:val="0"/>
          <w:sz w:val="18"/>
        </w:rPr>
        <w:t>以上实际日程可能有调整，以最终课程安排为准。</w:t>
      </w:r>
    </w:p>
    <w:p w:rsidR="006B7EAB" w:rsidRDefault="006B7EAB" w:rsidP="006B7EAB">
      <w:pPr>
        <w:widowControl/>
        <w:spacing w:afterLines="100" w:line="400" w:lineRule="exact"/>
        <w:jc w:val="left"/>
        <w:rPr>
          <w:rStyle w:val="Char5"/>
        </w:rPr>
      </w:pPr>
    </w:p>
    <w:sectPr w:rsidR="006B7EAB" w:rsidSect="006B7EAB">
      <w:pgSz w:w="11906" w:h="16838"/>
      <w:pgMar w:top="993" w:right="1133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4FA" w:rsidRDefault="00E164FA">
      <w:pPr>
        <w:spacing w:line="240" w:lineRule="auto"/>
      </w:pPr>
      <w:r>
        <w:separator/>
      </w:r>
    </w:p>
  </w:endnote>
  <w:endnote w:type="continuationSeparator" w:id="0">
    <w:p w:rsidR="00E164FA" w:rsidRDefault="00E164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4FA" w:rsidRDefault="00E164FA">
      <w:pPr>
        <w:spacing w:line="240" w:lineRule="auto"/>
      </w:pPr>
      <w:r>
        <w:separator/>
      </w:r>
    </w:p>
  </w:footnote>
  <w:footnote w:type="continuationSeparator" w:id="0">
    <w:p w:rsidR="00E164FA" w:rsidRDefault="00E164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68pt;height:768pt" o:bullet="t">
        <v:imagedata r:id="rId1" o:title=""/>
      </v:shape>
    </w:pict>
  </w:numPicBullet>
  <w:abstractNum w:abstractNumId="0">
    <w:nsid w:val="82C521E8"/>
    <w:multiLevelType w:val="multilevel"/>
    <w:tmpl w:val="82C521E8"/>
    <w:lvl w:ilvl="0">
      <w:start w:val="1"/>
      <w:numFmt w:val="bullet"/>
      <w:lvlText w:val=""/>
      <w:lvlPicBulletId w:val="0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  <w:color w:val="7030A0"/>
      </w:rPr>
    </w:lvl>
    <w:lvl w:ilvl="1">
      <w:start w:val="1"/>
      <w:numFmt w:val="bullet"/>
      <w:lvlText w:val=""/>
      <w:lvlJc w:val="left"/>
      <w:pPr>
        <w:tabs>
          <w:tab w:val="left" w:pos="42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42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42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4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2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2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"/>
        </w:tabs>
        <w:ind w:left="4200" w:hanging="420"/>
      </w:pPr>
      <w:rPr>
        <w:rFonts w:ascii="Wingdings" w:hAnsi="Wingdings" w:hint="default"/>
      </w:rPr>
    </w:lvl>
  </w:abstractNum>
  <w:abstractNum w:abstractNumId="1">
    <w:nsid w:val="C73402C6"/>
    <w:multiLevelType w:val="singleLevel"/>
    <w:tmpl w:val="C73402C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</w:abstractNum>
  <w:abstractNum w:abstractNumId="2">
    <w:nsid w:val="D098EA26"/>
    <w:multiLevelType w:val="singleLevel"/>
    <w:tmpl w:val="D098EA26"/>
    <w:lvl w:ilvl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>
    <w:nsid w:val="EA0BAC10"/>
    <w:multiLevelType w:val="singleLevel"/>
    <w:tmpl w:val="EA0BAC10"/>
    <w:lvl w:ilvl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">
    <w:nsid w:val="147B5825"/>
    <w:multiLevelType w:val="multilevel"/>
    <w:tmpl w:val="147B5825"/>
    <w:lvl w:ilvl="0"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微软雅黑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51ACE96"/>
    <w:multiLevelType w:val="singleLevel"/>
    <w:tmpl w:val="651ACE9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WEzNjVmYzU4YzI5NDRiMDI2NzAyZmI4MzY3ODQyYzEifQ=="/>
  </w:docVars>
  <w:rsids>
    <w:rsidRoot w:val="000C5479"/>
    <w:rsid w:val="000C5479"/>
    <w:rsid w:val="000D7CF1"/>
    <w:rsid w:val="002E3A13"/>
    <w:rsid w:val="003750CC"/>
    <w:rsid w:val="005B67F4"/>
    <w:rsid w:val="006016E1"/>
    <w:rsid w:val="00643C58"/>
    <w:rsid w:val="006B7EAB"/>
    <w:rsid w:val="00735B75"/>
    <w:rsid w:val="007E78D5"/>
    <w:rsid w:val="0081367D"/>
    <w:rsid w:val="0089491C"/>
    <w:rsid w:val="00980C69"/>
    <w:rsid w:val="00A2328B"/>
    <w:rsid w:val="00A301ED"/>
    <w:rsid w:val="00B750FD"/>
    <w:rsid w:val="00BE0111"/>
    <w:rsid w:val="00CF14B7"/>
    <w:rsid w:val="00E164FA"/>
    <w:rsid w:val="00F4183C"/>
    <w:rsid w:val="6442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0" w:unhideWhenUsed="0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EAB"/>
    <w:pPr>
      <w:widowControl w:val="0"/>
      <w:spacing w:line="300" w:lineRule="exact"/>
      <w:jc w:val="both"/>
    </w:pPr>
    <w:rPr>
      <w:rFonts w:eastAsia="微软雅黑"/>
      <w:color w:val="7A6342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6B7EAB"/>
    <w:pPr>
      <w:keepNext/>
      <w:keepLines/>
      <w:spacing w:before="260" w:after="260" w:line="416" w:lineRule="auto"/>
      <w:outlineLvl w:val="1"/>
    </w:pPr>
    <w:rPr>
      <w:rFonts w:ascii="微软雅黑" w:hAnsi="微软雅黑" w:cs="微软雅黑"/>
      <w:b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autoRedefine/>
    <w:uiPriority w:val="99"/>
    <w:unhideWhenUsed/>
    <w:qFormat/>
    <w:rsid w:val="006B7EAB"/>
    <w:pPr>
      <w:jc w:val="left"/>
    </w:pPr>
  </w:style>
  <w:style w:type="paragraph" w:styleId="a4">
    <w:name w:val="Body Text"/>
    <w:basedOn w:val="a"/>
    <w:link w:val="Char0"/>
    <w:autoRedefine/>
    <w:semiHidden/>
    <w:qFormat/>
    <w:rsid w:val="006B7EAB"/>
    <w:rPr>
      <w:rFonts w:ascii="微软雅黑" w:hAnsi="微软雅黑" w:cs="微软雅黑"/>
      <w:sz w:val="24"/>
      <w:szCs w:val="24"/>
      <w:lang w:eastAsia="en-US"/>
    </w:rPr>
  </w:style>
  <w:style w:type="paragraph" w:styleId="a5">
    <w:name w:val="Balloon Text"/>
    <w:basedOn w:val="a"/>
    <w:link w:val="Char1"/>
    <w:autoRedefine/>
    <w:uiPriority w:val="99"/>
    <w:semiHidden/>
    <w:unhideWhenUsed/>
    <w:qFormat/>
    <w:rsid w:val="006B7EAB"/>
    <w:rPr>
      <w:sz w:val="18"/>
      <w:szCs w:val="18"/>
    </w:rPr>
  </w:style>
  <w:style w:type="paragraph" w:styleId="a6">
    <w:name w:val="footer"/>
    <w:basedOn w:val="a"/>
    <w:link w:val="Char2"/>
    <w:autoRedefine/>
    <w:uiPriority w:val="99"/>
    <w:unhideWhenUsed/>
    <w:qFormat/>
    <w:rsid w:val="006B7E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autoRedefine/>
    <w:uiPriority w:val="99"/>
    <w:unhideWhenUsed/>
    <w:qFormat/>
    <w:rsid w:val="006B7E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rsid w:val="006B7EAB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color w:val="auto"/>
      <w:kern w:val="0"/>
      <w:sz w:val="24"/>
      <w:szCs w:val="24"/>
    </w:rPr>
  </w:style>
  <w:style w:type="paragraph" w:styleId="a9">
    <w:name w:val="annotation subject"/>
    <w:basedOn w:val="a3"/>
    <w:next w:val="a3"/>
    <w:link w:val="Char4"/>
    <w:autoRedefine/>
    <w:uiPriority w:val="99"/>
    <w:semiHidden/>
    <w:unhideWhenUsed/>
    <w:qFormat/>
    <w:rsid w:val="006B7EAB"/>
    <w:rPr>
      <w:b/>
      <w:bCs/>
    </w:rPr>
  </w:style>
  <w:style w:type="table" w:styleId="aa">
    <w:name w:val="Table Grid"/>
    <w:basedOn w:val="a1"/>
    <w:autoRedefine/>
    <w:uiPriority w:val="39"/>
    <w:qFormat/>
    <w:rsid w:val="006B7EAB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autoRedefine/>
    <w:uiPriority w:val="99"/>
    <w:semiHidden/>
    <w:unhideWhenUsed/>
    <w:qFormat/>
    <w:rsid w:val="006B7EAB"/>
    <w:rPr>
      <w:color w:val="954F72" w:themeColor="followedHyperlink"/>
      <w:u w:val="single"/>
    </w:rPr>
  </w:style>
  <w:style w:type="character" w:styleId="ac">
    <w:name w:val="Hyperlink"/>
    <w:basedOn w:val="a0"/>
    <w:autoRedefine/>
    <w:uiPriority w:val="99"/>
    <w:unhideWhenUsed/>
    <w:qFormat/>
    <w:rsid w:val="006B7EAB"/>
    <w:rPr>
      <w:color w:val="0000FF"/>
      <w:u w:val="single"/>
    </w:rPr>
  </w:style>
  <w:style w:type="character" w:styleId="ad">
    <w:name w:val="annotation reference"/>
    <w:basedOn w:val="a0"/>
    <w:autoRedefine/>
    <w:uiPriority w:val="99"/>
    <w:semiHidden/>
    <w:unhideWhenUsed/>
    <w:qFormat/>
    <w:rsid w:val="006B7EAB"/>
    <w:rPr>
      <w:sz w:val="21"/>
      <w:szCs w:val="21"/>
    </w:rPr>
  </w:style>
  <w:style w:type="character" w:customStyle="1" w:styleId="2Char">
    <w:name w:val="标题 2 Char"/>
    <w:basedOn w:val="a0"/>
    <w:link w:val="2"/>
    <w:autoRedefine/>
    <w:uiPriority w:val="9"/>
    <w:qFormat/>
    <w:rsid w:val="006B7EAB"/>
    <w:rPr>
      <w:rFonts w:ascii="微软雅黑" w:eastAsia="微软雅黑" w:hAnsi="微软雅黑" w:cs="微软雅黑"/>
      <w:b/>
      <w:color w:val="000000" w:themeColor="text1"/>
      <w:sz w:val="28"/>
      <w:szCs w:val="28"/>
    </w:rPr>
  </w:style>
  <w:style w:type="table" w:customStyle="1" w:styleId="ida">
    <w:name w:val="ida"/>
    <w:basedOn w:val="a1"/>
    <w:autoRedefine/>
    <w:uiPriority w:val="99"/>
    <w:qFormat/>
    <w:rsid w:val="006B7EAB"/>
    <w:tblPr>
      <w:tblInd w:w="0" w:type="dxa"/>
      <w:tblBorders>
        <w:top w:val="dotted" w:sz="4" w:space="0" w:color="D9D9D9" w:themeColor="background1" w:themeShade="D9"/>
        <w:left w:val="dotted" w:sz="4" w:space="0" w:color="D9D9D9" w:themeColor="background1" w:themeShade="D9"/>
        <w:bottom w:val="dotted" w:sz="4" w:space="0" w:color="D9D9D9" w:themeColor="background1" w:themeShade="D9"/>
        <w:right w:val="dotted" w:sz="4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tblPr/>
      <w:tcPr>
        <w:tcBorders>
          <w:top w:val="nil"/>
          <w:left w:val="nil"/>
          <w:bottom w:val="single" w:sz="4" w:space="0" w:color="FFD966" w:themeColor="accent4" w:themeTint="99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paragraph" w:styleId="ae">
    <w:name w:val="No Spacing"/>
    <w:link w:val="Char5"/>
    <w:autoRedefine/>
    <w:uiPriority w:val="1"/>
    <w:qFormat/>
    <w:rsid w:val="006B7EAB"/>
    <w:rPr>
      <w:rFonts w:eastAsia="微软雅黑"/>
      <w:color w:val="000000" w:themeColor="text1"/>
      <w:sz w:val="22"/>
      <w:szCs w:val="22"/>
    </w:rPr>
  </w:style>
  <w:style w:type="character" w:customStyle="1" w:styleId="Char5">
    <w:name w:val="无间隔 Char"/>
    <w:basedOn w:val="a0"/>
    <w:link w:val="ae"/>
    <w:autoRedefine/>
    <w:uiPriority w:val="1"/>
    <w:qFormat/>
    <w:rsid w:val="006B7EAB"/>
    <w:rPr>
      <w:rFonts w:eastAsia="微软雅黑"/>
      <w:color w:val="000000" w:themeColor="text1"/>
      <w:kern w:val="0"/>
      <w:sz w:val="22"/>
    </w:rPr>
  </w:style>
  <w:style w:type="paragraph" w:styleId="af">
    <w:name w:val="List Paragraph"/>
    <w:basedOn w:val="a"/>
    <w:autoRedefine/>
    <w:uiPriority w:val="34"/>
    <w:qFormat/>
    <w:rsid w:val="006B7EAB"/>
    <w:pPr>
      <w:ind w:firstLineChars="200" w:firstLine="420"/>
    </w:pPr>
  </w:style>
  <w:style w:type="character" w:customStyle="1" w:styleId="Char">
    <w:name w:val="批注文字 Char"/>
    <w:basedOn w:val="a0"/>
    <w:link w:val="a3"/>
    <w:autoRedefine/>
    <w:uiPriority w:val="99"/>
    <w:qFormat/>
    <w:rsid w:val="006B7EAB"/>
  </w:style>
  <w:style w:type="character" w:customStyle="1" w:styleId="Char0">
    <w:name w:val="正文文本 Char"/>
    <w:basedOn w:val="a0"/>
    <w:link w:val="a4"/>
    <w:autoRedefine/>
    <w:semiHidden/>
    <w:qFormat/>
    <w:rsid w:val="006B7EAB"/>
    <w:rPr>
      <w:rFonts w:ascii="微软雅黑" w:eastAsia="微软雅黑" w:hAnsi="微软雅黑" w:cs="微软雅黑"/>
      <w:sz w:val="24"/>
      <w:szCs w:val="24"/>
      <w:lang w:eastAsia="en-US"/>
    </w:rPr>
  </w:style>
  <w:style w:type="character" w:customStyle="1" w:styleId="Char1">
    <w:name w:val="批注框文本 Char"/>
    <w:basedOn w:val="a0"/>
    <w:link w:val="a5"/>
    <w:autoRedefine/>
    <w:uiPriority w:val="99"/>
    <w:semiHidden/>
    <w:qFormat/>
    <w:rsid w:val="006B7EAB"/>
    <w:rPr>
      <w:sz w:val="18"/>
      <w:szCs w:val="18"/>
    </w:rPr>
  </w:style>
  <w:style w:type="character" w:customStyle="1" w:styleId="Char2">
    <w:name w:val="页脚 Char"/>
    <w:basedOn w:val="a0"/>
    <w:link w:val="a6"/>
    <w:autoRedefine/>
    <w:uiPriority w:val="99"/>
    <w:qFormat/>
    <w:rsid w:val="006B7EAB"/>
    <w:rPr>
      <w:sz w:val="18"/>
      <w:szCs w:val="18"/>
    </w:rPr>
  </w:style>
  <w:style w:type="character" w:customStyle="1" w:styleId="Char3">
    <w:name w:val="页眉 Char"/>
    <w:basedOn w:val="a0"/>
    <w:link w:val="a7"/>
    <w:autoRedefine/>
    <w:uiPriority w:val="99"/>
    <w:qFormat/>
    <w:rsid w:val="006B7EAB"/>
    <w:rPr>
      <w:sz w:val="18"/>
      <w:szCs w:val="18"/>
    </w:rPr>
  </w:style>
  <w:style w:type="character" w:customStyle="1" w:styleId="Char4">
    <w:name w:val="批注主题 Char"/>
    <w:basedOn w:val="Char"/>
    <w:link w:val="a9"/>
    <w:autoRedefine/>
    <w:uiPriority w:val="99"/>
    <w:semiHidden/>
    <w:qFormat/>
    <w:rsid w:val="006B7EAB"/>
    <w:rPr>
      <w:b/>
      <w:bCs/>
    </w:rPr>
  </w:style>
  <w:style w:type="table" w:customStyle="1" w:styleId="1">
    <w:name w:val="网格型浅色1"/>
    <w:basedOn w:val="a1"/>
    <w:autoRedefine/>
    <w:uiPriority w:val="40"/>
    <w:qFormat/>
    <w:rsid w:val="006B7EAB"/>
    <w:rPr>
      <w:rFonts w:ascii="Times New Roman" w:eastAsia="宋体" w:hAnsi="Times New Roman" w:cs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明显强调1"/>
    <w:basedOn w:val="a0"/>
    <w:autoRedefine/>
    <w:uiPriority w:val="21"/>
    <w:qFormat/>
    <w:rsid w:val="006B7EAB"/>
    <w:rPr>
      <w:iCs/>
      <w:color w:val="4472C4" w:themeColor="accent1"/>
    </w:rPr>
  </w:style>
  <w:style w:type="character" w:customStyle="1" w:styleId="11">
    <w:name w:val="未处理的提及1"/>
    <w:basedOn w:val="a0"/>
    <w:autoRedefine/>
    <w:uiPriority w:val="99"/>
    <w:semiHidden/>
    <w:unhideWhenUsed/>
    <w:qFormat/>
    <w:rsid w:val="006B7EA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1215</Words>
  <Characters>6932</Characters>
  <Application>Microsoft Office Word</Application>
  <DocSecurity>0</DocSecurity>
  <Lines>57</Lines>
  <Paragraphs>16</Paragraphs>
  <ScaleCrop>false</ScaleCrop>
  <Company/>
  <LinksUpToDate>false</LinksUpToDate>
  <CharactersWithSpaces>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张君玲</dc:creator>
  <cp:lastModifiedBy>丁湘</cp:lastModifiedBy>
  <cp:revision>2</cp:revision>
  <dcterms:created xsi:type="dcterms:W3CDTF">2024-03-29T07:25:00Z</dcterms:created>
  <dcterms:modified xsi:type="dcterms:W3CDTF">2024-03-29T07:25:00Z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9D926F1FD4EC448291C14D388E4F4FD6_12</vt:lpwstr>
  </property>
</Properties>
</file>